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机器学习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Machine Learning)</w:t>
      </w:r>
      <w:r>
        <w:rPr>
          <w:rFonts w:ascii="Times New Roman" w:hAnsi="Times New Roman" w:cs="Times New Roman" w:hint="eastAsia"/>
          <w:sz w:val="28"/>
          <w:szCs w:val="28"/>
        </w:rPr>
        <w:t>是人工智能（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rtificial Intelligence</w:t>
      </w:r>
      <w:r>
        <w:rPr>
          <w:rFonts w:ascii="Times New Roman" w:hAnsi="Times New Roman" w:cs="Times New Roman" w:hint="eastAsia"/>
          <w:sz w:val="28"/>
          <w:szCs w:val="28"/>
        </w:rPr>
        <w:t>）研究与应用的一个分支。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监督学习（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upervised Learning</w:t>
      </w:r>
      <w:r>
        <w:rPr>
          <w:rFonts w:ascii="Times New Roman" w:hAnsi="Times New Roman" w:cs="Times New Roman" w:hint="eastAsia"/>
          <w:sz w:val="28"/>
          <w:szCs w:val="28"/>
        </w:rPr>
        <w:t>）：侧重对事物未知表现的预测，一般包括分类问题（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lassification</w:t>
      </w:r>
      <w:r>
        <w:rPr>
          <w:rFonts w:ascii="Times New Roman" w:hAnsi="Times New Roman" w:cs="Times New Roman" w:hint="eastAsia"/>
          <w:sz w:val="28"/>
          <w:szCs w:val="28"/>
        </w:rPr>
        <w:t>）和回归问题（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egression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分类问题：类别是离散的，也是预先知道数量的。例如根据人的体重，身高，三维来预测其性别。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回归问题：预测的目标是连续变量，例如根据房屋面积，地理位置等预测其价格。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无监督学习（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nsupervised Learning</w:t>
      </w:r>
      <w:r>
        <w:rPr>
          <w:rFonts w:ascii="Times New Roman" w:hAnsi="Times New Roman" w:cs="Times New Roman" w:hint="eastAsia"/>
          <w:sz w:val="28"/>
          <w:szCs w:val="28"/>
        </w:rPr>
        <w:t>）：侧重对事物本身特性的分析，常用的技术有降维（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imensionality Reduction</w:t>
      </w:r>
      <w:r>
        <w:rPr>
          <w:rFonts w:ascii="Times New Roman" w:hAnsi="Times New Roman" w:cs="Times New Roman" w:hint="eastAsia"/>
          <w:sz w:val="28"/>
          <w:szCs w:val="28"/>
        </w:rPr>
        <w:t>）和聚类（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lustering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数据降维：对事物的特性进行压缩和筛选，之前做的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 w:hint="eastAsia"/>
          <w:sz w:val="28"/>
          <w:szCs w:val="28"/>
        </w:rPr>
        <w:t>主成分分析就是一种数据降维方法。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聚类：根据数据的相似性，将相似的数据划分为一个簇。不同于分类问题，大多数情况下我们并不预先知道簇的数量和具体含义。例如，大型点数对用户的信息和购买习惯进行聚类分析，从而针对特定人群投放特定广告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特征：反映数据内在规律的信息。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特征向量</w:t>
      </w:r>
      <w:r>
        <w:rPr>
          <w:rFonts w:ascii="Times New Roman" w:hAnsi="Times New Roman" w:cs="Times New Roman" w:hint="eastAsia"/>
          <w:sz w:val="28"/>
          <w:szCs w:val="28"/>
        </w:rPr>
        <w:t>：描述一个数据样本的规律信息。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统计学知识：均值，中值，方差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居中趋势测量：均值、中值、众数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众数：在统计分布上具有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明显集中趋势点的数值</w:t>
      </w:r>
      <w:r>
        <w:rPr>
          <w:rFonts w:ascii="Times New Roman" w:hAnsi="Times New Roman" w:cs="Times New Roman" w:hint="eastAsia"/>
          <w:sz w:val="28"/>
          <w:szCs w:val="28"/>
        </w:rPr>
        <w:t>，代表数据的一般水平（众数可以不存在或多于一个）。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修正定义：是一组数据中出现次数最多的数值，叫众数，有时众数在一组数中有好几个。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数据的离散性：四分位距法、异常值、标准偏差、贝塞尔修正。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不能将测试数据用于训练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监督学习大体上可以分为：分类学习和回归预测。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监督学习的基本架构和流程：</w:t>
      </w:r>
    </w:p>
    <w:p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="Times New Roman" w:hAnsi="Times New Roman" w:cs="Times New Roman"/>
        </w:rPr>
        <w:object w:dxaOrig="10365" w:dyaOrig="4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7pt;height:194.25pt" o:ole="">
            <v:imagedata r:id="rId7" o:title=""/>
          </v:shape>
          <o:OLEObject Type="Embed" ProgID="Visio.Drawing.15" ShapeID="_x0000_i1028" DrawAspect="Content" ObjectID="_1609932613" r:id="rId8"/>
        </w:object>
      </w:r>
    </w:p>
    <w:p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线性分类</w:t>
      </w:r>
    </w:p>
    <w:p>
      <w:pPr>
        <w:rPr>
          <w:rFonts w:asciiTheme="minorEastAsia" w:hAnsiTheme="minorEastAsia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良性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恶性肿瘤分类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machine_learning/classfication_test1.py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pandas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pd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numpy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np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sklearn.model_selection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train_test_split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sklearn.preprocessing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StandardScaler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LogisticRegression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SGDClassifier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sklearn.metrics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classification_report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创建特征列表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column_names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'Sample code number'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'Clump Thickness'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Shape'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'Marginal Adhesion'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'Single Epithelial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'Bare Nuclei'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'Bland Chromatin'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'Normal Nucleoli'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'Mitoses'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'Class'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读取数据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pd.read_csv(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'https://archive.ics.uci.edu/ml/'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               'machine-learning-databases/breast-cancer-wisconsin/breast-cancer-wisconsin.data'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=column_names)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将缺省值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?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替换为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NumPy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的标准缺失值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data.replace(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to_replace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'?'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value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=np.nan)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data = data.dropna(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how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'any'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将数据保存成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csv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文件，不加行索引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data.to_csv('total.csv', index=False)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># print(data.shape)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数据分割，多少训练，多少预测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data[column_names[1:10]]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 = \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train_test_split(data[column_names[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test_size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0.25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random_state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Excel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列号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+1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2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'Class'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列的值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print(y_train)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标准化数据，每个维度的特征数据方差为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，均值为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会将每个维度的数据标准为正负值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ss = StandardScaler()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将数据类型转换为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 = X_train.astype(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X_test.astype(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X_train = ss.fit_transform(X_train)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ss.transform(X_test)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LR = LogisticRegression()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SGDC = SGDClassifier()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LogisticRegression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 = LR.predict(X_test)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SGDClassifier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>sgdc_y_predict = SGDC.predict(X_test)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结果分析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LR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\n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SGDC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</w:t>
      </w:r>
      <w:r>
        <w:rPr>
          <w:rFonts w:ascii="Times New Roman" w:hAnsi="Times New Roman" w:cs="Times New Roman"/>
          <w:sz w:val="28"/>
          <w:szCs w:val="28"/>
        </w:rPr>
        <w:t>分类的三个评价指标：</w:t>
      </w:r>
    </w:p>
    <w:p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准确性（</w:t>
      </w:r>
      <w:r>
        <w:rPr>
          <w:rFonts w:ascii="Times New Roman" w:hAnsi="Times New Roman" w:cs="Times New Roman"/>
          <w:sz w:val="28"/>
          <w:szCs w:val="28"/>
        </w:rPr>
        <w:t>Accuracy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6080" w:dyaOrig="760">
          <v:shape id="_x0000_i1029" type="#_x0000_t75" style="width:303.75pt;height:38.25pt" o:ole="">
            <v:imagedata r:id="rId9" o:title=""/>
          </v:shape>
          <o:OLEObject Type="Embed" ProgID="Equation.DSMT4" ShapeID="_x0000_i1029" DrawAspect="Content" ObjectID="_1609932614" r:id="rId1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对应到本例中，类别有两种：恶性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良性，记恶性为阳（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ositive</w:t>
      </w:r>
      <w:r>
        <w:rPr>
          <w:rFonts w:ascii="Times New Roman" w:hAnsi="Times New Roman" w:cs="Times New Roman" w:hint="eastAsia"/>
          <w:sz w:val="28"/>
          <w:szCs w:val="28"/>
        </w:rPr>
        <w:t>），良性为阴（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egative</w:t>
      </w:r>
      <w:r>
        <w:rPr>
          <w:rFonts w:ascii="Times New Roman" w:hAnsi="Times New Roman" w:cs="Times New Roman" w:hint="eastAsia"/>
          <w:sz w:val="28"/>
          <w:szCs w:val="28"/>
        </w:rPr>
        <w:t>），则预测正确恶性为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Positive</w:t>
      </w:r>
      <w:r>
        <w:rPr>
          <w:rFonts w:ascii="Times New Roman" w:hAnsi="Times New Roman" w:cs="Times New Roman" w:hint="eastAsia"/>
          <w:sz w:val="28"/>
          <w:szCs w:val="28"/>
        </w:rPr>
        <w:t>，预测错误恶性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Positive</w:t>
      </w:r>
      <w:r>
        <w:rPr>
          <w:rFonts w:ascii="Times New Roman" w:hAnsi="Times New Roman" w:cs="Times New Roman" w:hint="eastAsia"/>
          <w:sz w:val="28"/>
          <w:szCs w:val="28"/>
        </w:rPr>
        <w:t>，预测正确良性为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Negative</w:t>
      </w:r>
      <w:r>
        <w:rPr>
          <w:rFonts w:ascii="Times New Roman" w:hAnsi="Times New Roman" w:cs="Times New Roman" w:hint="eastAsia"/>
          <w:sz w:val="28"/>
          <w:szCs w:val="28"/>
        </w:rPr>
        <w:t>，预测错误良性为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Negative</w:t>
      </w:r>
      <w:r>
        <w:rPr>
          <w:rFonts w:ascii="Times New Roman" w:hAnsi="Times New Roman" w:cs="Times New Roman" w:hint="eastAsia"/>
          <w:sz w:val="28"/>
          <w:szCs w:val="28"/>
        </w:rPr>
        <w:t>。准确性为：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7920" w:dyaOrig="740">
          <v:shape id="_x0000_i1030" type="#_x0000_t75" style="width:396pt;height:36.75pt" o:ole="">
            <v:imagedata r:id="rId11" o:title=""/>
          </v:shape>
          <o:OLEObject Type="Embed" ProgID="Equation.DSMT4" ShapeID="_x0000_i1030" DrawAspect="Content" ObjectID="_1609932615" r:id="rId12"/>
        </w:object>
      </w:r>
    </w:p>
    <w:p>
      <w:pPr>
        <w:pStyle w:val="aa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精确率（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recision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5100" w:dyaOrig="660">
          <v:shape id="_x0000_i1031" type="#_x0000_t75" style="width:255pt;height:33pt" o:ole="">
            <v:imagedata r:id="rId13" o:title=""/>
          </v:shape>
          <o:OLEObject Type="Embed" ProgID="Equation.DSMT4" ShapeID="_x0000_i1031" DrawAspect="Content" ObjectID="_1609932616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对于本例：两个类别的精确率分别为：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620" w:dyaOrig="740">
          <v:shape id="_x0000_i1032" type="#_x0000_t75" style="width:180.75pt;height:36.75pt" o:ole="">
            <v:imagedata r:id="rId15" o:title=""/>
          </v:shape>
          <o:OLEObject Type="Embed" ProgID="Equation.DSMT4" ShapeID="_x0000_i1032" DrawAspect="Content" ObjectID="_1609932617" r:id="rId1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80" w:dyaOrig="740">
          <v:shape id="_x0000_i1033" type="#_x0000_t75" style="width:189pt;height:36.75pt" o:ole="">
            <v:imagedata r:id="rId17" o:title=""/>
          </v:shape>
          <o:OLEObject Type="Embed" ProgID="Equation.DSMT4" ShapeID="_x0000_i1033" DrawAspect="Content" ObjectID="_1609932618" r:id="rId1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a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召回率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Recall)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5640" w:dyaOrig="660">
          <v:shape id="_x0000_i1034" type="#_x0000_t75" style="width:282pt;height:33pt" o:ole="">
            <v:imagedata r:id="rId19" o:title=""/>
          </v:shape>
          <o:OLEObject Type="Embed" ProgID="Equation.DSMT4" ShapeID="_x0000_i1034" DrawAspect="Content" ObjectID="_1609932619" r:id="rId2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其中：</w:t>
      </w:r>
      <w:r>
        <w:rPr>
          <w:rFonts w:ascii="Times New Roman" w:hAnsi="Times New Roman" w:cs="Times New Roman" w:hint="eastAsia"/>
          <w:sz w:val="28"/>
          <w:szCs w:val="28"/>
        </w:rPr>
        <w:t>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个分类预测错误样本即为应该被预测为本分类，却被识别为另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个分类的样本。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本例中：两个类别的召回率分别为：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00" w:dyaOrig="740">
          <v:shape id="_x0000_i1035" type="#_x0000_t75" style="width:185.25pt;height:36.75pt" o:ole="">
            <v:imagedata r:id="rId21" o:title=""/>
          </v:shape>
          <o:OLEObject Type="Embed" ProgID="Equation.DSMT4" ShapeID="_x0000_i1035" DrawAspect="Content" ObjectID="_1609932620" r:id="rId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00" w:dyaOrig="740">
          <v:shape id="_x0000_i1036" type="#_x0000_t75" style="width:185.25pt;height:36.75pt" o:ole="">
            <v:imagedata r:id="rId23" o:title=""/>
          </v:shape>
          <o:OLEObject Type="Embed" ProgID="Equation.DSMT4" ShapeID="_x0000_i1036" DrawAspect="Content" ObjectID="_1609932621" r:id="rId2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另外还有一个调和指标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 measure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54"/>
        </w:rPr>
        <w:object w:dxaOrig="3260" w:dyaOrig="920">
          <v:shape id="_x0000_i1037" type="#_x0000_t75" style="width:162.75pt;height:45.75pt" o:ole="">
            <v:imagedata r:id="rId25" o:title=""/>
          </v:shape>
          <o:OLEObject Type="Embed" ProgID="Equation.DSMT4" ShapeID="_x0000_i1037" DrawAspect="Content" ObjectID="_1609932622" r:id="rId2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β得分：</w:t>
      </w:r>
      <w:r>
        <w:rPr>
          <w:position w:val="-28"/>
        </w:rPr>
        <w:object w:dxaOrig="4320" w:dyaOrig="660">
          <v:shape id="_x0000_i1038" type="#_x0000_t75" style="width:215.25pt;height:33pt" o:ole="">
            <v:imagedata r:id="rId27" o:title=""/>
          </v:shape>
          <o:OLEObject Type="Embed" ProgID="Equation.DSMT4" ShapeID="_x0000_i1038" DrawAspect="Content" ObjectID="_1609932623" r:id="rId2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β在β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的情况，β</w:t>
      </w:r>
      <w:r>
        <w:rPr>
          <w:rFonts w:ascii="Times New Roman" w:hAnsi="Times New Roman" w:cs="Times New Roman" w:hint="eastAsia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代表更偏向精度，β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代表更偏向召回率。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对于多分类的情况，对于某一分类计算精确率和召回率时，将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其他分类统一看成另一分类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混淆矩阵：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识别为阳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识别为阴</w:t>
            </w:r>
          </w:p>
        </w:tc>
      </w:tr>
      <w:tr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阳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rue positive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alse Negative</w:t>
            </w:r>
          </w:p>
        </w:tc>
      </w:tr>
      <w:tr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阴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alse positive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rue Negative</w:t>
            </w:r>
          </w:p>
        </w:tc>
      </w:tr>
    </w:tbl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480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6" t="7635" r="20720" b="6376"/>
                    <a:stretch/>
                  </pic:blipFill>
                  <pic:spPr bwMode="auto">
                    <a:xfrm>
                      <a:off x="0" y="0"/>
                      <a:ext cx="34480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8954" w:type="dxa"/>
        <w:tblLook w:val="04A0" w:firstRow="1" w:lastRow="0" w:firstColumn="1" w:lastColumn="0" w:noHBand="0" w:noVBand="1"/>
      </w:tblPr>
      <w:tblGrid>
        <w:gridCol w:w="2238"/>
        <w:gridCol w:w="2238"/>
        <w:gridCol w:w="2011"/>
        <w:gridCol w:w="2467"/>
      </w:tblGrid>
      <w:tr>
        <w:trPr>
          <w:trHeight w:val="412"/>
        </w:trPr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redict Positive</w:t>
            </w:r>
          </w:p>
        </w:tc>
        <w:tc>
          <w:tcPr>
            <w:tcW w:w="2011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redict Negative</w:t>
            </w:r>
          </w:p>
        </w:tc>
        <w:tc>
          <w:tcPr>
            <w:tcW w:w="2467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rPr>
          <w:trHeight w:val="841"/>
        </w:trPr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ositive</w:t>
            </w:r>
          </w:p>
        </w:tc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rue Positive(TP)</w:t>
            </w:r>
          </w:p>
        </w:tc>
        <w:tc>
          <w:tcPr>
            <w:tcW w:w="2011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alse Negative(FN)</w:t>
            </w:r>
          </w:p>
        </w:tc>
        <w:tc>
          <w:tcPr>
            <w:tcW w:w="2467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ctual Positive(TP + FN)</w:t>
            </w:r>
          </w:p>
        </w:tc>
      </w:tr>
      <w:tr>
        <w:trPr>
          <w:trHeight w:val="428"/>
        </w:trPr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egative</w:t>
            </w:r>
          </w:p>
        </w:tc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asle Positive(FP)</w:t>
            </w:r>
          </w:p>
        </w:tc>
        <w:tc>
          <w:tcPr>
            <w:tcW w:w="2011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rue Negat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ve(TN)</w:t>
            </w:r>
          </w:p>
        </w:tc>
        <w:tc>
          <w:tcPr>
            <w:tcW w:w="2467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ctual Negative(FP + TN)</w:t>
            </w:r>
          </w:p>
        </w:tc>
      </w:tr>
      <w:tr>
        <w:trPr>
          <w:trHeight w:val="412"/>
        </w:trPr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11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7" w:type="dxa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真正类率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True Positive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 = TP / (TP + FN)</w:t>
      </w:r>
      <w:r>
        <w:rPr>
          <w:rFonts w:ascii="Times New Roman" w:hAnsi="Times New Roman" w:cs="Times New Roman" w:hint="eastAsia"/>
          <w:sz w:val="28"/>
          <w:szCs w:val="28"/>
        </w:rPr>
        <w:t>，也等于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ositive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的召回率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负正类率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False Positive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 = FP / (FP + TN)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真负类率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True Negative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NR 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TN / (FP + TN)</w:t>
      </w:r>
      <w:r>
        <w:rPr>
          <w:rFonts w:ascii="Times New Roman" w:hAnsi="Times New Roman" w:cs="Times New Roman" w:hint="eastAsia"/>
          <w:sz w:val="28"/>
          <w:szCs w:val="28"/>
        </w:rPr>
        <w:t>，也等于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egative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的召回率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又称为敏感度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ensitivity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NR</w:t>
      </w:r>
      <w:r>
        <w:rPr>
          <w:rFonts w:ascii="Times New Roman" w:hAnsi="Times New Roman" w:cs="Times New Roman" w:hint="eastAsia"/>
          <w:sz w:val="28"/>
          <w:szCs w:val="28"/>
        </w:rPr>
        <w:t>又称为特异度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pecificity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FPR</w:t>
      </w:r>
      <w:r>
        <w:rPr>
          <w:rFonts w:ascii="Times New Roman" w:hAnsi="Times New Roman" w:cs="Times New Roman" w:hint="eastAsia"/>
          <w:sz w:val="28"/>
          <w:szCs w:val="28"/>
        </w:rPr>
        <w:t>就是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-Specificity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曲线，横轴为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，竖轴为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曲线的绘制：对于一个分类器，对于二分类问题，可以预测出一个样本为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的概率，设置不同的阈值，就会得到不同的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FPR, TPR)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0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https://www.cnblogs.com/wuchuanying/p/6243987.html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理想的分类器，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RP = 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 = 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UC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曲线下方的面积，理想的为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，随机情况（最坏的情形）为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，面积也可能小于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的值一直小于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，识别正确的真阳性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一直小于被误识别为阳性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，但如果进行分类翻转，则会好于</w:t>
      </w:r>
      <w:r>
        <w:rPr>
          <w:rFonts w:ascii="Times New Roman" w:hAnsi="Times New Roman" w:cs="Times New Roman"/>
          <w:sz w:val="28"/>
          <w:szCs w:val="28"/>
        </w:rPr>
        <w:t>AUC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的情形。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系数：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 w:hint="eastAsia"/>
          <w:sz w:val="28"/>
          <w:szCs w:val="28"/>
        </w:rPr>
        <w:t>：总离差平方和，</w:t>
      </w:r>
      <w:r>
        <w:rPr>
          <w:position w:val="-28"/>
        </w:rPr>
        <w:object w:dxaOrig="1160" w:dyaOrig="620">
          <v:shape id="_x0000_i1025" type="#_x0000_t75" style="width:57.75pt;height:30.75pt" o:ole="">
            <v:imagedata r:id="rId31" o:title=""/>
          </v:shape>
          <o:OLEObject Type="Embed" ProgID="Equation.DSMT4" ShapeID="_x0000_i1025" DrawAspect="Content" ObjectID="_1609932624" r:id="rId3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 w:hint="eastAsia"/>
          <w:sz w:val="28"/>
          <w:szCs w:val="28"/>
        </w:rPr>
        <w:t>：残差平方和（误差平方和），</w:t>
      </w:r>
      <w:r>
        <w:rPr>
          <w:position w:val="-28"/>
        </w:rPr>
        <w:object w:dxaOrig="1219" w:dyaOrig="639">
          <v:shape id="_x0000_i1026" type="#_x0000_t75" style="width:60.75pt;height:32.25pt" o:ole="">
            <v:imagedata r:id="rId33" o:title=""/>
          </v:shape>
          <o:OLEObject Type="Embed" ProgID="Equation.DSMT4" ShapeID="_x0000_i1026" DrawAspect="Content" ObjectID="_1609932625" r:id="rId3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54"/>
        </w:rPr>
        <w:object w:dxaOrig="2079" w:dyaOrig="1219">
          <v:shape id="_x0000_i1027" type="#_x0000_t75" style="width:104.25pt;height:60.75pt" o:ole="">
            <v:imagedata r:id="rId35" o:title=""/>
          </v:shape>
          <o:OLEObject Type="Embed" ProgID="Equation.DSMT4" ShapeID="_x0000_i1027" DrawAspect="Content" ObjectID="_1609932626" r:id="rId3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好的模型，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的值应该接近于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，坏的模型，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的值接近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84E00"/>
    <w:multiLevelType w:val="hybridMultilevel"/>
    <w:tmpl w:val="4F029A30"/>
    <w:lvl w:ilvl="0" w:tplc="A3C67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5:docId w15:val="{7FB7ED2F-0180-48F1-9434-96A9E5C8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table" w:styleId="a7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hyperlink" Target="https://www.cnblogs.com/wuchuanying/p/6243987.html" TargetMode="External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46</cp:revision>
  <dcterms:created xsi:type="dcterms:W3CDTF">2018-03-28T11:57:00Z</dcterms:created>
  <dcterms:modified xsi:type="dcterms:W3CDTF">2019-01-25T06:43:00Z</dcterms:modified>
</cp:coreProperties>
</file>