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机器学习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Machine Learning)</w:t>
      </w:r>
      <w:r>
        <w:rPr>
          <w:rFonts w:ascii="Times New Roman" w:hAnsi="Times New Roman" w:cs="Times New Roman" w:hint="eastAsia"/>
          <w:sz w:val="28"/>
          <w:szCs w:val="28"/>
        </w:rPr>
        <w:t>是人工智能（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rtificial Intelligence</w:t>
      </w:r>
      <w:r>
        <w:rPr>
          <w:rFonts w:ascii="Times New Roman" w:hAnsi="Times New Roman" w:cs="Times New Roman" w:hint="eastAsia"/>
          <w:sz w:val="28"/>
          <w:szCs w:val="28"/>
        </w:rPr>
        <w:t>）研究与应用的一个分支。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监督学习（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upervised Learning</w:t>
      </w:r>
      <w:r>
        <w:rPr>
          <w:rFonts w:ascii="Times New Roman" w:hAnsi="Times New Roman" w:cs="Times New Roman" w:hint="eastAsia"/>
          <w:sz w:val="28"/>
          <w:szCs w:val="28"/>
        </w:rPr>
        <w:t>）：侧重对事物未知表现的预测，一般包括分类问题（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lassification</w:t>
      </w:r>
      <w:r>
        <w:rPr>
          <w:rFonts w:ascii="Times New Roman" w:hAnsi="Times New Roman" w:cs="Times New Roman" w:hint="eastAsia"/>
          <w:sz w:val="28"/>
          <w:szCs w:val="28"/>
        </w:rPr>
        <w:t>）和回归问题（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egression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5555E">
        <w:rPr>
          <w:rFonts w:ascii="Times New Roman" w:hAnsi="Times New Roman" w:cs="Times New Roman" w:hint="eastAsia"/>
          <w:color w:val="FF0000"/>
          <w:sz w:val="28"/>
          <w:szCs w:val="28"/>
        </w:rPr>
        <w:t>分类问题</w:t>
      </w:r>
      <w:r>
        <w:rPr>
          <w:rFonts w:ascii="Times New Roman" w:hAnsi="Times New Roman" w:cs="Times New Roman" w:hint="eastAsia"/>
          <w:sz w:val="28"/>
          <w:szCs w:val="28"/>
        </w:rPr>
        <w:t>：类别是</w:t>
      </w:r>
      <w:r w:rsidRPr="0025555E">
        <w:rPr>
          <w:rFonts w:ascii="Times New Roman" w:hAnsi="Times New Roman" w:cs="Times New Roman" w:hint="eastAsia"/>
          <w:color w:val="FF0000"/>
          <w:sz w:val="28"/>
          <w:szCs w:val="28"/>
        </w:rPr>
        <w:t>离散的</w:t>
      </w:r>
      <w:r>
        <w:rPr>
          <w:rFonts w:ascii="Times New Roman" w:hAnsi="Times New Roman" w:cs="Times New Roman" w:hint="eastAsia"/>
          <w:sz w:val="28"/>
          <w:szCs w:val="28"/>
        </w:rPr>
        <w:t>，也是预先知道数量的。例如根据人的体重，身高，三维来预测其性别。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4C5F">
        <w:rPr>
          <w:rFonts w:ascii="Times New Roman" w:hAnsi="Times New Roman" w:cs="Times New Roman" w:hint="eastAsia"/>
          <w:color w:val="FF0000"/>
          <w:sz w:val="28"/>
          <w:szCs w:val="28"/>
        </w:rPr>
        <w:t>回归问题</w:t>
      </w:r>
      <w:r>
        <w:rPr>
          <w:rFonts w:ascii="Times New Roman" w:hAnsi="Times New Roman" w:cs="Times New Roman" w:hint="eastAsia"/>
          <w:sz w:val="28"/>
          <w:szCs w:val="28"/>
        </w:rPr>
        <w:t>：预测的目标是</w:t>
      </w:r>
      <w:r w:rsidRPr="00734C5F">
        <w:rPr>
          <w:rFonts w:ascii="Times New Roman" w:hAnsi="Times New Roman" w:cs="Times New Roman" w:hint="eastAsia"/>
          <w:color w:val="FF0000"/>
          <w:sz w:val="28"/>
          <w:szCs w:val="28"/>
        </w:rPr>
        <w:t>连续变量</w:t>
      </w:r>
      <w:r>
        <w:rPr>
          <w:rFonts w:ascii="Times New Roman" w:hAnsi="Times New Roman" w:cs="Times New Roman" w:hint="eastAsia"/>
          <w:sz w:val="28"/>
          <w:szCs w:val="28"/>
        </w:rPr>
        <w:t>，例如根据房屋面积，地理位置等预测其价格。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无监督学习（</w:t>
      </w: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nsupervised Learning</w:t>
      </w:r>
      <w:r>
        <w:rPr>
          <w:rFonts w:ascii="Times New Roman" w:hAnsi="Times New Roman" w:cs="Times New Roman" w:hint="eastAsia"/>
          <w:sz w:val="28"/>
          <w:szCs w:val="28"/>
        </w:rPr>
        <w:t>）：侧重对事物本身特性的分析，常用的技术有降维（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imensionality Reduction</w:t>
      </w:r>
      <w:r>
        <w:rPr>
          <w:rFonts w:ascii="Times New Roman" w:hAnsi="Times New Roman" w:cs="Times New Roman" w:hint="eastAsia"/>
          <w:sz w:val="28"/>
          <w:szCs w:val="28"/>
        </w:rPr>
        <w:t>）和聚类（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lustering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数据降维：对事物的特性进行压缩和筛选，之前做的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CA</w:t>
      </w:r>
      <w:r>
        <w:rPr>
          <w:rFonts w:ascii="Times New Roman" w:hAnsi="Times New Roman" w:cs="Times New Roman" w:hint="eastAsia"/>
          <w:sz w:val="28"/>
          <w:szCs w:val="28"/>
        </w:rPr>
        <w:t>主成分分析就是一种数据降维方法。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聚类：根据数据的相似性，将相</w:t>
      </w:r>
      <w:r w:rsidRPr="002E4770">
        <w:rPr>
          <w:rFonts w:ascii="Times New Roman" w:hAnsi="Times New Roman" w:cs="Times New Roman" w:hint="eastAsia"/>
          <w:color w:val="FF0000"/>
          <w:sz w:val="28"/>
          <w:szCs w:val="28"/>
        </w:rPr>
        <w:t>似的数据划分为一个簇</w:t>
      </w:r>
      <w:r>
        <w:rPr>
          <w:rFonts w:ascii="Times New Roman" w:hAnsi="Times New Roman" w:cs="Times New Roman" w:hint="eastAsia"/>
          <w:sz w:val="28"/>
          <w:szCs w:val="28"/>
        </w:rPr>
        <w:t>。不同于分类问题，大多数情况下我们并不预先知道簇的数量和具体含义。例如，大型点数对用户的信息和购买习惯进行聚类分析，从而针对特定人群投放特定广告。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特征：反映数据内在规律的信息。</w:t>
      </w: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特征向量</w:t>
      </w:r>
      <w:r>
        <w:rPr>
          <w:rFonts w:ascii="Times New Roman" w:hAnsi="Times New Roman" w:cs="Times New Roman" w:hint="eastAsia"/>
          <w:sz w:val="28"/>
          <w:szCs w:val="28"/>
        </w:rPr>
        <w:t>：描述一个数据样本的规律信息。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统计学知识：均值，中值，方差</w:t>
      </w: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居中趋势测量：均值、中值、众数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众数：在统计分布上具有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明显集中趋势点的数值</w:t>
      </w:r>
      <w:r>
        <w:rPr>
          <w:rFonts w:ascii="Times New Roman" w:hAnsi="Times New Roman" w:cs="Times New Roman" w:hint="eastAsia"/>
          <w:sz w:val="28"/>
          <w:szCs w:val="28"/>
        </w:rPr>
        <w:t>，代表数据的一般水平（众数可以不存在或多于一个）。修正定义：是一组数据中出现次数最多的数值，叫众数，有时众数在一组数中有好几个。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数据的离散性：四分位距法、异常值、标准偏差、贝塞尔修正。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不能将测试数据用于训练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监督学习大体上可以分为：分类学习和回归预测。</w:t>
      </w:r>
    </w:p>
    <w:p w:rsidR="00EF2C96" w:rsidRDefault="00EF2C96">
      <w:pPr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监督学习的基本架构和流程：</w:t>
      </w:r>
    </w:p>
    <w:p w:rsidR="00EF2C96" w:rsidRDefault="00EF2C96">
      <w:pPr>
        <w:rPr>
          <w:rFonts w:asciiTheme="minorEastAsia" w:hAnsiTheme="minorEastAsia" w:cs="Times New Roman"/>
          <w:sz w:val="28"/>
          <w:szCs w:val="28"/>
        </w:rPr>
      </w:pPr>
      <w:r w:rsidRPr="00EF2C96">
        <w:rPr>
          <w:rFonts w:ascii="Times New Roman" w:hAnsi="Times New Roman" w:cs="Times New Roman"/>
        </w:rPr>
        <w:object w:dxaOrig="10365" w:dyaOrig="4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194.4pt" o:ole="">
            <v:imagedata r:id="rId7" o:title=""/>
          </v:shape>
          <o:OLEObject Type="Embed" ProgID="Visio.Drawing.15" ShapeID="_x0000_i1025" DrawAspect="Content" ObjectID="_1629481919" r:id="rId8"/>
        </w:object>
      </w:r>
    </w:p>
    <w:p w:rsidR="00EF2C96" w:rsidRDefault="000F6040">
      <w:pPr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线性分类</w:t>
      </w:r>
    </w:p>
    <w:p w:rsidR="00EF2C96" w:rsidRDefault="00EF2C96">
      <w:pPr>
        <w:rPr>
          <w:rFonts w:asciiTheme="minorEastAsia" w:hAnsiTheme="minorEastAsia" w:cs="Times New Roman"/>
          <w:sz w:val="28"/>
          <w:szCs w:val="28"/>
        </w:rPr>
      </w:pPr>
    </w:p>
    <w:p w:rsidR="00EF2C96" w:rsidRDefault="000F6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良性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恶性肿瘤分类</w:t>
      </w:r>
    </w:p>
    <w:p w:rsidR="00EF2C96" w:rsidRDefault="000F6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例：程序</w:t>
      </w:r>
      <w:r>
        <w:rPr>
          <w:rFonts w:ascii="Times New Roman" w:hAnsi="Times New Roman" w:cs="Times New Roman"/>
          <w:sz w:val="28"/>
          <w:szCs w:val="28"/>
        </w:rPr>
        <w:t>machine_learning/classfication_test1.py</w:t>
      </w:r>
    </w:p>
    <w:p w:rsidR="00EF2C96" w:rsidRDefault="000F60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pandas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as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pd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numpy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as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np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sklearn.model_selection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train_test_split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sklearn.preprocessing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StandardScaler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sklearn.linear_model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LogisticRegression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lastRenderedPageBreak/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sklearn.linear_model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SGDClassifier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sklearn.metrics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classification_report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创建特征列表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column_names = [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'Sample code number'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'Clump Thickness'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'Uniformity of Cell Size'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'Uniformity of Cell Shape'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'Marginal Adhesion'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'Single Epithelial Cell Size'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'Bare Nuclei'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'Bland Chromatin'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'Normal Nucleoli'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'Mitoses'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'Class'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读取数据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data = pd.read_csv(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'https://archive.ics.uci.edu/ml/'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br/>
        <w:t xml:space="preserve">                   'machine-learning-databases/breast-cancer-wisconsin/breast-cancer-wisconsin.data'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names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=column_names)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将缺省值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?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替换为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NumPy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的标准缺失值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data = data.replace(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to_replace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'?'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value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=np.nan)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data = data.dropna(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how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'any'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将数据保存成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csv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文件，不加行索引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data.to_csv('total.csv', index=False)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># print(data.shape)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数据分割，多少训练，多少预测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data[column_names[1:10]]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：样本特征集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data[column_names[10]]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：样本标签集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X_train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：训练特征集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y_train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：训练标签集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X_test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：测试特征集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y_test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：测试标签集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X_train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X_test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y_train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y_test = \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train_test_split(data[column_names[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]]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data[column_names[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]]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test_size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0.25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random_state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33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第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1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Excel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列号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+1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第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2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'Class'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列的值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print(y_train)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标准化数据，每个维度的特征数据方差为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1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，均值为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会将每个维度的数据标准为正负值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ss = StandardScaler()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将数据类型转换为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float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X_train = X_train.astype(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float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X_test = X_test.astype(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float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X_train = ss.fit_transform(X_train)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X_test = ss.transform(X_test)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LR = LogisticRegression()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SGDC = SGDClassifier()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调用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LogisticRegression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来训练模型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LR.fit(X_train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y_train)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LR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预测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lr_y_predict = LR.predict(X_test)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调用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SGDClassifier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来训练模型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SGDC.fit(X_train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y_train)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SGDC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预测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t>sgdc_y_predict = SGDC.predict(X_test)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结果分析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LR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'Accuracy of LR Classifier: 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LR.score(X_test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y_test))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(classification_report(y_test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lr_y_predict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target_names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=[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'Benign'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'Malignant'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\n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SGDC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'Accuracy of SGDC Classifier: 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SGDC.score(X_test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y_test))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(classification_report(y_test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sgdc_y_predict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target_names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=[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'Benign'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'Malignant'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]))</w:t>
      </w:r>
    </w:p>
    <w:p w:rsidR="00EF2C96" w:rsidRDefault="00EF2C96">
      <w:pPr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</w:t>
      </w:r>
      <w:r>
        <w:rPr>
          <w:rFonts w:ascii="Times New Roman" w:hAnsi="Times New Roman" w:cs="Times New Roman"/>
          <w:sz w:val="28"/>
          <w:szCs w:val="28"/>
        </w:rPr>
        <w:t>分类的三个评价指标：</w:t>
      </w:r>
    </w:p>
    <w:p w:rsidR="00EF2C96" w:rsidRDefault="000F604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准确性（</w:t>
      </w:r>
      <w:r>
        <w:rPr>
          <w:rFonts w:ascii="Times New Roman" w:hAnsi="Times New Roman" w:cs="Times New Roman"/>
          <w:sz w:val="28"/>
          <w:szCs w:val="28"/>
        </w:rPr>
        <w:t>Accuracy</w:t>
      </w:r>
      <w:r>
        <w:rPr>
          <w:rFonts w:ascii="Times New Roman" w:hAnsi="Times New Roman" w:cs="Times New Roman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F2C96" w:rsidRDefault="00EF2C9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C96">
        <w:rPr>
          <w:position w:val="-32"/>
        </w:rPr>
        <w:object w:dxaOrig="6080" w:dyaOrig="760">
          <v:shape id="_x0000_i1026" type="#_x0000_t75" style="width:303.6pt;height:38.4pt" o:ole="">
            <v:imagedata r:id="rId9" o:title=""/>
          </v:shape>
          <o:OLEObject Type="Embed" ProgID="Equation.DSMT4" ShapeID="_x0000_i1026" DrawAspect="Content" ObjectID="_1629481920" r:id="rId10"/>
        </w:object>
      </w: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对应到本例中，类别有两种：恶性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良性，记恶性为阳（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ositive</w:t>
      </w:r>
      <w:r>
        <w:rPr>
          <w:rFonts w:ascii="Times New Roman" w:hAnsi="Times New Roman" w:cs="Times New Roman" w:hint="eastAsia"/>
          <w:sz w:val="28"/>
          <w:szCs w:val="28"/>
        </w:rPr>
        <w:t>），良性为阴（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egative</w:t>
      </w:r>
      <w:r>
        <w:rPr>
          <w:rFonts w:ascii="Times New Roman" w:hAnsi="Times New Roman" w:cs="Times New Roman" w:hint="eastAsia"/>
          <w:sz w:val="28"/>
          <w:szCs w:val="28"/>
        </w:rPr>
        <w:t>），则预测正确恶性为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rue Positive</w:t>
      </w:r>
      <w:r>
        <w:rPr>
          <w:rFonts w:ascii="Times New Roman" w:hAnsi="Times New Roman" w:cs="Times New Roman" w:hint="eastAsia"/>
          <w:sz w:val="28"/>
          <w:szCs w:val="28"/>
        </w:rPr>
        <w:t>，预测错误恶性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为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alse Positive</w:t>
      </w:r>
      <w:r>
        <w:rPr>
          <w:rFonts w:ascii="Times New Roman" w:hAnsi="Times New Roman" w:cs="Times New Roman" w:hint="eastAsia"/>
          <w:sz w:val="28"/>
          <w:szCs w:val="28"/>
        </w:rPr>
        <w:t>，预测正确良性为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rue Negative</w:t>
      </w:r>
      <w:r>
        <w:rPr>
          <w:rFonts w:ascii="Times New Roman" w:hAnsi="Times New Roman" w:cs="Times New Roman" w:hint="eastAsia"/>
          <w:sz w:val="28"/>
          <w:szCs w:val="28"/>
        </w:rPr>
        <w:t>，预测错误良性为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alse Negative</w:t>
      </w:r>
      <w:r>
        <w:rPr>
          <w:rFonts w:ascii="Times New Roman" w:hAnsi="Times New Roman" w:cs="Times New Roman" w:hint="eastAsia"/>
          <w:sz w:val="28"/>
          <w:szCs w:val="28"/>
        </w:rPr>
        <w:t>。准确性为：</w:t>
      </w:r>
    </w:p>
    <w:p w:rsidR="00EF2C96" w:rsidRDefault="00EF2C9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C96">
        <w:rPr>
          <w:position w:val="-32"/>
        </w:rPr>
        <w:object w:dxaOrig="7920" w:dyaOrig="740">
          <v:shape id="_x0000_i1027" type="#_x0000_t75" style="width:396pt;height:36.6pt" o:ole="">
            <v:imagedata r:id="rId11" o:title=""/>
          </v:shape>
          <o:OLEObject Type="Embed" ProgID="Equation.DSMT4" ShapeID="_x0000_i1027" DrawAspect="Content" ObjectID="_1629481921" r:id="rId12"/>
        </w:object>
      </w:r>
    </w:p>
    <w:p w:rsidR="00EF2C96" w:rsidRDefault="000F6040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精确率（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recision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EF2C96" w:rsidRDefault="00EF2C9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C96">
        <w:rPr>
          <w:position w:val="-26"/>
        </w:rPr>
        <w:object w:dxaOrig="5100" w:dyaOrig="660">
          <v:shape id="_x0000_i1028" type="#_x0000_t75" style="width:255pt;height:33pt" o:ole="">
            <v:imagedata r:id="rId13" o:title=""/>
          </v:shape>
          <o:OLEObject Type="Embed" ProgID="Equation.DSMT4" ShapeID="_x0000_i1028" DrawAspect="Content" ObjectID="_1629481922" r:id="rId14"/>
        </w:object>
      </w: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对于本例：两个类别的精确率分别为：</w:t>
      </w:r>
    </w:p>
    <w:p w:rsidR="00EF2C96" w:rsidRDefault="00EF2C9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C96">
        <w:rPr>
          <w:position w:val="-32"/>
        </w:rPr>
        <w:object w:dxaOrig="3620" w:dyaOrig="740">
          <v:shape id="_x0000_i1029" type="#_x0000_t75" style="width:180.6pt;height:36.6pt" o:ole="">
            <v:imagedata r:id="rId15" o:title=""/>
          </v:shape>
          <o:OLEObject Type="Embed" ProgID="Equation.DSMT4" ShapeID="_x0000_i1029" DrawAspect="Content" ObjectID="_1629481923" r:id="rId16"/>
        </w:objec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EF2C9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C96">
        <w:rPr>
          <w:position w:val="-32"/>
        </w:rPr>
        <w:object w:dxaOrig="3780" w:dyaOrig="740">
          <v:shape id="_x0000_i1030" type="#_x0000_t75" style="width:189pt;height:36.6pt" o:ole="">
            <v:imagedata r:id="rId17" o:title=""/>
          </v:shape>
          <o:OLEObject Type="Embed" ProgID="Equation.DSMT4" ShapeID="_x0000_i1030" DrawAspect="Content" ObjectID="_1629481924" r:id="rId18"/>
        </w:objec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召回率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Recall)</w:t>
      </w:r>
    </w:p>
    <w:p w:rsidR="00EF2C96" w:rsidRDefault="00EF2C9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C96">
        <w:rPr>
          <w:position w:val="-26"/>
        </w:rPr>
        <w:object w:dxaOrig="5640" w:dyaOrig="660">
          <v:shape id="_x0000_i1031" type="#_x0000_t75" style="width:282pt;height:33pt" o:ole="">
            <v:imagedata r:id="rId19" o:title=""/>
          </v:shape>
          <o:OLEObject Type="Embed" ProgID="Equation.DSMT4" ShapeID="_x0000_i1031" DrawAspect="Content" ObjectID="_1629481925" r:id="rId20"/>
        </w:object>
      </w: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其中：</w:t>
      </w:r>
      <w:r>
        <w:rPr>
          <w:rFonts w:ascii="Times New Roman" w:hAnsi="Times New Roman" w:cs="Times New Roman" w:hint="eastAsia"/>
          <w:sz w:val="28"/>
          <w:szCs w:val="28"/>
        </w:rPr>
        <w:t>另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个分类预测错误样本即为应该被预测为本分类，却被识别为另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个分类的样本。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本例中：两个类别的召回率分别为：</w:t>
      </w:r>
    </w:p>
    <w:p w:rsidR="00EF2C96" w:rsidRDefault="00EF2C9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C96">
        <w:rPr>
          <w:position w:val="-32"/>
        </w:rPr>
        <w:object w:dxaOrig="3700" w:dyaOrig="740">
          <v:shape id="_x0000_i1032" type="#_x0000_t75" style="width:185.4pt;height:36.6pt" o:ole="">
            <v:imagedata r:id="rId21" o:title=""/>
          </v:shape>
          <o:OLEObject Type="Embed" ProgID="Equation.DSMT4" ShapeID="_x0000_i1032" DrawAspect="Content" ObjectID="_1629481926" r:id="rId22"/>
        </w:objec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EF2C9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C96">
        <w:rPr>
          <w:position w:val="-32"/>
        </w:rPr>
        <w:object w:dxaOrig="3700" w:dyaOrig="740">
          <v:shape id="_x0000_i1033" type="#_x0000_t75" style="width:185.4pt;height:36.6pt" o:ole="">
            <v:imagedata r:id="rId23" o:title=""/>
          </v:shape>
          <o:OLEObject Type="Embed" ProgID="Equation.DSMT4" ShapeID="_x0000_i1033" DrawAspect="Content" ObjectID="_1629481927" r:id="rId24"/>
        </w:objec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另外还有一个调和指标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1 measure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F2C96" w:rsidRDefault="00EF2C96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C96">
        <w:rPr>
          <w:position w:val="-54"/>
        </w:rPr>
        <w:object w:dxaOrig="3260" w:dyaOrig="920">
          <v:shape id="_x0000_i1034" type="#_x0000_t75" style="width:162.6pt;height:45.6pt" o:ole="">
            <v:imagedata r:id="rId25" o:title=""/>
          </v:shape>
          <o:OLEObject Type="Embed" ProgID="Equation.DSMT4" ShapeID="_x0000_i1034" DrawAspect="Content" ObjectID="_1629481928" r:id="rId26"/>
        </w:objec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β得分：</w:t>
      </w:r>
      <w:r w:rsidR="00EF2C96" w:rsidRPr="00EF2C96">
        <w:rPr>
          <w:position w:val="-28"/>
        </w:rPr>
        <w:object w:dxaOrig="4320" w:dyaOrig="660">
          <v:shape id="_x0000_i1035" type="#_x0000_t75" style="width:215.4pt;height:33pt" o:ole="">
            <v:imagedata r:id="rId27" o:title=""/>
          </v:shape>
          <o:OLEObject Type="Embed" ProgID="Equation.DSMT4" ShapeID="_x0000_i1035" DrawAspect="Content" ObjectID="_1629481929" r:id="rId28"/>
        </w:object>
      </w: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β在β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的情况，β</w:t>
      </w:r>
      <w:r>
        <w:rPr>
          <w:rFonts w:ascii="Times New Roman" w:hAnsi="Times New Roman" w:cs="Times New Roman" w:hint="eastAsia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代表更偏向精度，β</w:t>
      </w:r>
      <w:r>
        <w:rPr>
          <w:rFonts w:ascii="Times New Roman" w:hAnsi="Times New Roman" w:cs="Times New Roman" w:hint="eastAsia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代表更偏向召回率。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对于多分类的情况，对于某一分类计算精确率和召回率时，将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其他分类统一看成另一分类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bookmarkStart w:id="0" w:name="_GoBack"/>
      <w:bookmarkEnd w:id="0"/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混淆矩阵：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EF2C96">
        <w:tc>
          <w:tcPr>
            <w:tcW w:w="2840" w:type="dxa"/>
          </w:tcPr>
          <w:p w:rsidR="00EF2C96" w:rsidRDefault="00EF2C96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1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识别为阳</w:t>
            </w:r>
          </w:p>
        </w:tc>
        <w:tc>
          <w:tcPr>
            <w:tcW w:w="2841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识别为阴</w:t>
            </w:r>
          </w:p>
        </w:tc>
      </w:tr>
      <w:tr w:rsidR="00EF2C96">
        <w:tc>
          <w:tcPr>
            <w:tcW w:w="2840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阳</w:t>
            </w:r>
          </w:p>
        </w:tc>
        <w:tc>
          <w:tcPr>
            <w:tcW w:w="2841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rue positive</w:t>
            </w:r>
          </w:p>
        </w:tc>
        <w:tc>
          <w:tcPr>
            <w:tcW w:w="2841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alse Negative</w:t>
            </w:r>
          </w:p>
        </w:tc>
      </w:tr>
      <w:tr w:rsidR="00EF2C96">
        <w:tc>
          <w:tcPr>
            <w:tcW w:w="2840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阴</w:t>
            </w:r>
          </w:p>
        </w:tc>
        <w:tc>
          <w:tcPr>
            <w:tcW w:w="2841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alse positive</w:t>
            </w:r>
          </w:p>
        </w:tc>
        <w:tc>
          <w:tcPr>
            <w:tcW w:w="2841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rue Negative</w:t>
            </w:r>
          </w:p>
        </w:tc>
      </w:tr>
    </w:tbl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448050" cy="2038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3906" t="7635" r="20720" b="6376"/>
                    <a:stretch/>
                  </pic:blipFill>
                  <pic:spPr bwMode="auto">
                    <a:xfrm>
                      <a:off x="0" y="0"/>
                      <a:ext cx="344805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OC</w:t>
      </w:r>
      <w:r>
        <w:rPr>
          <w:rFonts w:ascii="Times New Roman" w:hAnsi="Times New Roman" w:cs="Times New Roman" w:hint="eastAsia"/>
          <w:sz w:val="28"/>
          <w:szCs w:val="28"/>
        </w:rPr>
        <w:t>曲线：</w:t>
      </w:r>
    </w:p>
    <w:p w:rsidR="00E60D3C" w:rsidRPr="00E60D3C" w:rsidRDefault="00E60D3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0" w:history="1">
        <w:r w:rsidRPr="00E60D3C">
          <w:rPr>
            <w:rStyle w:val="a6"/>
            <w:rFonts w:ascii="Times New Roman" w:hAnsi="Times New Roman" w:cs="Times New Roman"/>
            <w:sz w:val="28"/>
            <w:szCs w:val="28"/>
          </w:rPr>
          <w:t>https://www.cnblogs.com/dlml/p/4403482.html</w:t>
        </w:r>
      </w:hyperlink>
    </w:p>
    <w:p w:rsidR="00EF2C96" w:rsidRDefault="00EF2C9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3236D" w:rsidRPr="0023236D" w:rsidRDefault="0023236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1" w:history="1">
        <w:r w:rsidRPr="0023236D">
          <w:rPr>
            <w:rStyle w:val="a6"/>
            <w:rFonts w:ascii="Times New Roman" w:hAnsi="Times New Roman" w:cs="Times New Roman"/>
            <w:sz w:val="28"/>
            <w:szCs w:val="28"/>
          </w:rPr>
          <w:t>https://www.plob.org/article/12476.html</w:t>
        </w:r>
      </w:hyperlink>
    </w:p>
    <w:p w:rsidR="0023236D" w:rsidRDefault="0023236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05CC4" w:rsidRDefault="00005CC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ROC</w:t>
      </w:r>
      <w:r>
        <w:rPr>
          <w:rFonts w:ascii="Times New Roman" w:hAnsi="Times New Roman" w:cs="Times New Roman" w:hint="eastAsia"/>
          <w:sz w:val="28"/>
          <w:szCs w:val="28"/>
        </w:rPr>
        <w:t>曲线的绘制：</w:t>
      </w:r>
      <w:r w:rsidR="001C74B1">
        <w:rPr>
          <w:rFonts w:ascii="Times New Roman" w:hAnsi="Times New Roman" w:cs="Times New Roman" w:hint="eastAsia"/>
          <w:sz w:val="28"/>
          <w:szCs w:val="28"/>
        </w:rPr>
        <w:t>对于有监督的二分类模型，模型对每个样本的预测结果为一个概率值，需要设置一个阈值来判断是否健康。超过阈值定义为不健康（</w:t>
      </w:r>
      <w:r w:rsidR="001C74B1" w:rsidRPr="001C74B1">
        <w:rPr>
          <w:rFonts w:ascii="Times New Roman" w:hAnsi="Times New Roman" w:cs="Times New Roman" w:hint="eastAsia"/>
          <w:color w:val="FF0000"/>
          <w:sz w:val="28"/>
          <w:szCs w:val="28"/>
        </w:rPr>
        <w:t>阳性</w:t>
      </w:r>
      <w:r w:rsidR="001C74B1">
        <w:rPr>
          <w:rFonts w:ascii="Times New Roman" w:hAnsi="Times New Roman" w:cs="Times New Roman" w:hint="eastAsia"/>
          <w:sz w:val="28"/>
          <w:szCs w:val="28"/>
        </w:rPr>
        <w:t>），低于阈值定义为健康（</w:t>
      </w:r>
      <w:r w:rsidR="001C74B1" w:rsidRPr="001C74B1">
        <w:rPr>
          <w:rFonts w:ascii="Times New Roman" w:hAnsi="Times New Roman" w:cs="Times New Roman" w:hint="eastAsia"/>
          <w:color w:val="FF0000"/>
          <w:sz w:val="28"/>
          <w:szCs w:val="28"/>
        </w:rPr>
        <w:t>阴</w:t>
      </w:r>
      <w:r w:rsidR="001C74B1">
        <w:rPr>
          <w:rFonts w:ascii="Times New Roman" w:hAnsi="Times New Roman" w:cs="Times New Roman" w:hint="eastAsia"/>
          <w:sz w:val="28"/>
          <w:szCs w:val="28"/>
        </w:rPr>
        <w:t>性），就可以得到混淆矩阵。</w:t>
      </w:r>
    </w:p>
    <w:p w:rsidR="001C74B1" w:rsidRDefault="001C74B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如果不定义阈值，而是将</w:t>
      </w:r>
      <w:r w:rsidRPr="001C74B1">
        <w:rPr>
          <w:rFonts w:ascii="Times New Roman" w:hAnsi="Times New Roman" w:cs="Times New Roman" w:hint="eastAsia"/>
          <w:color w:val="FF0000"/>
          <w:sz w:val="28"/>
          <w:szCs w:val="28"/>
        </w:rPr>
        <w:t>模型预测结果从高到低排序</w:t>
      </w:r>
      <w:r>
        <w:rPr>
          <w:rFonts w:ascii="Times New Roman" w:hAnsi="Times New Roman" w:cs="Times New Roman" w:hint="eastAsia"/>
          <w:sz w:val="28"/>
          <w:szCs w:val="28"/>
        </w:rPr>
        <w:t>，将每次概率值依次作为阈值（即</w:t>
      </w:r>
      <w:r w:rsidRPr="00BC2399">
        <w:rPr>
          <w:rFonts w:ascii="Times New Roman" w:hAnsi="Times New Roman" w:cs="Times New Roman" w:hint="eastAsia"/>
          <w:color w:val="FF0000"/>
          <w:sz w:val="28"/>
          <w:szCs w:val="28"/>
        </w:rPr>
        <w:t>按照顺序每次将某一样本</w:t>
      </w:r>
      <w:r>
        <w:rPr>
          <w:rFonts w:ascii="Times New Roman" w:hAnsi="Times New Roman" w:cs="Times New Roman" w:hint="eastAsia"/>
          <w:sz w:val="28"/>
          <w:szCs w:val="28"/>
        </w:rPr>
        <w:t>以及大于其概率的样本预测为阳性），</w:t>
      </w:r>
      <w:r w:rsidR="00BC2399">
        <w:rPr>
          <w:rFonts w:ascii="Times New Roman" w:hAnsi="Times New Roman" w:cs="Times New Roman" w:hint="eastAsia"/>
          <w:sz w:val="28"/>
          <w:szCs w:val="28"/>
        </w:rPr>
        <w:t>就可以得到多个混淆矩阵。对于每个混淆矩阵，计算</w:t>
      </w:r>
      <w:r w:rsidR="00BC2399">
        <w:rPr>
          <w:rFonts w:ascii="Times New Roman" w:hAnsi="Times New Roman" w:cs="Times New Roman" w:hint="eastAsia"/>
          <w:sz w:val="28"/>
          <w:szCs w:val="28"/>
        </w:rPr>
        <w:t>TPR</w:t>
      </w:r>
      <w:r w:rsidR="00BC2399">
        <w:rPr>
          <w:rFonts w:ascii="Times New Roman" w:hAnsi="Times New Roman" w:cs="Times New Roman" w:hint="eastAsia"/>
          <w:sz w:val="28"/>
          <w:szCs w:val="28"/>
        </w:rPr>
        <w:t>和</w:t>
      </w:r>
      <w:r w:rsidR="00BC2399">
        <w:rPr>
          <w:rFonts w:ascii="Times New Roman" w:hAnsi="Times New Roman" w:cs="Times New Roman" w:hint="eastAsia"/>
          <w:sz w:val="28"/>
          <w:szCs w:val="28"/>
        </w:rPr>
        <w:t>FPR</w:t>
      </w:r>
      <w:r w:rsidR="00BC2399">
        <w:rPr>
          <w:rFonts w:ascii="Times New Roman" w:hAnsi="Times New Roman" w:cs="Times New Roman" w:hint="eastAsia"/>
          <w:sz w:val="28"/>
          <w:szCs w:val="28"/>
        </w:rPr>
        <w:t>，以</w:t>
      </w:r>
      <w:r w:rsidR="00BC2399">
        <w:rPr>
          <w:rFonts w:ascii="Times New Roman" w:hAnsi="Times New Roman" w:cs="Times New Roman" w:hint="eastAsia"/>
          <w:sz w:val="28"/>
          <w:szCs w:val="28"/>
        </w:rPr>
        <w:t>FPR</w:t>
      </w:r>
      <w:r w:rsidR="00BC2399">
        <w:rPr>
          <w:rFonts w:ascii="Times New Roman" w:hAnsi="Times New Roman" w:cs="Times New Roman" w:hint="eastAsia"/>
          <w:sz w:val="28"/>
          <w:szCs w:val="28"/>
        </w:rPr>
        <w:t>为横轴，</w:t>
      </w:r>
      <w:r w:rsidR="00BC2399">
        <w:rPr>
          <w:rFonts w:ascii="Times New Roman" w:hAnsi="Times New Roman" w:cs="Times New Roman" w:hint="eastAsia"/>
          <w:sz w:val="28"/>
          <w:szCs w:val="28"/>
        </w:rPr>
        <w:t>TRP</w:t>
      </w:r>
      <w:r w:rsidR="00BC2399">
        <w:rPr>
          <w:rFonts w:ascii="Times New Roman" w:hAnsi="Times New Roman" w:cs="Times New Roman" w:hint="eastAsia"/>
          <w:sz w:val="28"/>
          <w:szCs w:val="28"/>
        </w:rPr>
        <w:t>为纵轴，就得到</w:t>
      </w:r>
      <w:r w:rsidR="00BC2399">
        <w:rPr>
          <w:rFonts w:ascii="Times New Roman" w:hAnsi="Times New Roman" w:cs="Times New Roman" w:hint="eastAsia"/>
          <w:sz w:val="28"/>
          <w:szCs w:val="28"/>
        </w:rPr>
        <w:t>ROC</w:t>
      </w:r>
      <w:r w:rsidR="00BC2399">
        <w:rPr>
          <w:rFonts w:ascii="Times New Roman" w:hAnsi="Times New Roman" w:cs="Times New Roman" w:hint="eastAsia"/>
          <w:sz w:val="28"/>
          <w:szCs w:val="28"/>
        </w:rPr>
        <w:t>曲线。</w:t>
      </w:r>
    </w:p>
    <w:p w:rsidR="00005CC4" w:rsidRDefault="00005CC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954" w:type="dxa"/>
        <w:tblLook w:val="04A0"/>
      </w:tblPr>
      <w:tblGrid>
        <w:gridCol w:w="2238"/>
        <w:gridCol w:w="2238"/>
        <w:gridCol w:w="2011"/>
        <w:gridCol w:w="2467"/>
      </w:tblGrid>
      <w:tr w:rsidR="00EF2C96">
        <w:trPr>
          <w:trHeight w:val="412"/>
        </w:trPr>
        <w:tc>
          <w:tcPr>
            <w:tcW w:w="2238" w:type="dxa"/>
          </w:tcPr>
          <w:p w:rsidR="00EF2C96" w:rsidRDefault="00EF2C9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38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redict Positive</w:t>
            </w:r>
          </w:p>
        </w:tc>
        <w:tc>
          <w:tcPr>
            <w:tcW w:w="2011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redict Negative</w:t>
            </w:r>
          </w:p>
        </w:tc>
        <w:tc>
          <w:tcPr>
            <w:tcW w:w="2467" w:type="dxa"/>
          </w:tcPr>
          <w:p w:rsidR="00EF2C96" w:rsidRDefault="00EF2C9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2C96">
        <w:trPr>
          <w:trHeight w:val="841"/>
        </w:trPr>
        <w:tc>
          <w:tcPr>
            <w:tcW w:w="2238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ositive</w:t>
            </w:r>
          </w:p>
        </w:tc>
        <w:tc>
          <w:tcPr>
            <w:tcW w:w="2238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  <w:r>
              <w:rPr>
                <w:rFonts w:ascii="Times New Roman" w:hAnsi="Times New Roman" w:cs="Times New Roman"/>
                <w:szCs w:val="21"/>
              </w:rPr>
              <w:t>rue Positive(TP)</w:t>
            </w:r>
          </w:p>
        </w:tc>
        <w:tc>
          <w:tcPr>
            <w:tcW w:w="2011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  <w:r>
              <w:rPr>
                <w:rFonts w:ascii="Times New Roman" w:hAnsi="Times New Roman" w:cs="Times New Roman"/>
                <w:szCs w:val="21"/>
              </w:rPr>
              <w:t>alse Negative(FN)</w:t>
            </w:r>
          </w:p>
        </w:tc>
        <w:tc>
          <w:tcPr>
            <w:tcW w:w="2467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ctual Positive(TP + FN)</w:t>
            </w:r>
          </w:p>
        </w:tc>
      </w:tr>
      <w:tr w:rsidR="00EF2C96">
        <w:trPr>
          <w:trHeight w:val="428"/>
        </w:trPr>
        <w:tc>
          <w:tcPr>
            <w:tcW w:w="2238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egative</w:t>
            </w:r>
          </w:p>
        </w:tc>
        <w:tc>
          <w:tcPr>
            <w:tcW w:w="2238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  <w:r>
              <w:rPr>
                <w:rFonts w:ascii="Times New Roman" w:hAnsi="Times New Roman" w:cs="Times New Roman"/>
                <w:szCs w:val="21"/>
              </w:rPr>
              <w:t>asle Positive(FP)</w:t>
            </w:r>
          </w:p>
        </w:tc>
        <w:tc>
          <w:tcPr>
            <w:tcW w:w="2011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  <w:r>
              <w:rPr>
                <w:rFonts w:ascii="Times New Roman" w:hAnsi="Times New Roman" w:cs="Times New Roman"/>
                <w:szCs w:val="21"/>
              </w:rPr>
              <w:t>rue Negat</w:t>
            </w: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ve(TN)</w:t>
            </w:r>
          </w:p>
        </w:tc>
        <w:tc>
          <w:tcPr>
            <w:tcW w:w="2467" w:type="dxa"/>
          </w:tcPr>
          <w:p w:rsidR="00EF2C96" w:rsidRDefault="000F6040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ctual Negative(FP + TN)</w:t>
            </w:r>
          </w:p>
        </w:tc>
      </w:tr>
      <w:tr w:rsidR="00EF2C96">
        <w:trPr>
          <w:trHeight w:val="412"/>
        </w:trPr>
        <w:tc>
          <w:tcPr>
            <w:tcW w:w="2238" w:type="dxa"/>
          </w:tcPr>
          <w:p w:rsidR="00EF2C96" w:rsidRDefault="00EF2C9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38" w:type="dxa"/>
          </w:tcPr>
          <w:p w:rsidR="00EF2C96" w:rsidRDefault="00EF2C9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11" w:type="dxa"/>
          </w:tcPr>
          <w:p w:rsidR="00EF2C96" w:rsidRDefault="00EF2C9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67" w:type="dxa"/>
          </w:tcPr>
          <w:p w:rsidR="00EF2C96" w:rsidRDefault="00EF2C96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真正类率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True Positive Rate)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PR = TP / (TP + FN)</w:t>
      </w:r>
      <w:r>
        <w:rPr>
          <w:rFonts w:ascii="Times New Roman" w:hAnsi="Times New Roman" w:cs="Times New Roman" w:hint="eastAsia"/>
          <w:sz w:val="28"/>
          <w:szCs w:val="28"/>
        </w:rPr>
        <w:t>，也等于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P</w:t>
      </w:r>
      <w:r>
        <w:rPr>
          <w:rFonts w:ascii="Times New Roman" w:hAnsi="Times New Roman" w:cs="Times New Roman"/>
          <w:color w:val="FF0000"/>
          <w:sz w:val="28"/>
          <w:szCs w:val="28"/>
        </w:rPr>
        <w:t>ositive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的召回率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负正类率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False Positive Rate)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PR = FP / (FP + TN)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真负类率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True Negative Rate)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NR 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TN / (FP + TN)</w:t>
      </w:r>
      <w:r>
        <w:rPr>
          <w:rFonts w:ascii="Times New Roman" w:hAnsi="Times New Roman" w:cs="Times New Roman" w:hint="eastAsia"/>
          <w:sz w:val="28"/>
          <w:szCs w:val="28"/>
        </w:rPr>
        <w:t>，也等于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>
        <w:rPr>
          <w:rFonts w:ascii="Times New Roman" w:hAnsi="Times New Roman" w:cs="Times New Roman"/>
          <w:color w:val="FF0000"/>
          <w:sz w:val="28"/>
          <w:szCs w:val="28"/>
        </w:rPr>
        <w:t>egative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的召回率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 w:hint="eastAsia"/>
          <w:sz w:val="28"/>
          <w:szCs w:val="28"/>
        </w:rPr>
        <w:t>又称为敏感度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ensitivity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NR</w:t>
      </w:r>
      <w:r>
        <w:rPr>
          <w:rFonts w:ascii="Times New Roman" w:hAnsi="Times New Roman" w:cs="Times New Roman" w:hint="eastAsia"/>
          <w:sz w:val="28"/>
          <w:szCs w:val="28"/>
        </w:rPr>
        <w:t>又称为特异度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pecificity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FPR</w:t>
      </w:r>
      <w:r>
        <w:rPr>
          <w:rFonts w:ascii="Times New Roman" w:hAnsi="Times New Roman" w:cs="Times New Roman" w:hint="eastAsia"/>
          <w:sz w:val="28"/>
          <w:szCs w:val="28"/>
        </w:rPr>
        <w:t>就是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-Specificity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OC</w:t>
      </w:r>
      <w:r>
        <w:rPr>
          <w:rFonts w:ascii="Times New Roman" w:hAnsi="Times New Roman" w:cs="Times New Roman" w:hint="eastAsia"/>
          <w:sz w:val="28"/>
          <w:szCs w:val="28"/>
        </w:rPr>
        <w:t>曲线，横轴为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 w:hint="eastAsia"/>
          <w:sz w:val="28"/>
          <w:szCs w:val="28"/>
        </w:rPr>
        <w:t>，竖轴为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理想的分类器，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P</w:t>
      </w:r>
      <w:r w:rsidR="00207522"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PR = 1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UC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OC</w:t>
      </w:r>
      <w:r>
        <w:rPr>
          <w:rFonts w:ascii="Times New Roman" w:hAnsi="Times New Roman" w:cs="Times New Roman" w:hint="eastAsia"/>
          <w:sz w:val="28"/>
          <w:szCs w:val="28"/>
        </w:rPr>
        <w:t>曲线下方的面积，理想的为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，随机情况（最坏的情形）为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 w:hint="eastAsia"/>
          <w:sz w:val="28"/>
          <w:szCs w:val="28"/>
        </w:rPr>
        <w:t>，面积也可能小于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 w:hint="eastAsia"/>
          <w:sz w:val="28"/>
          <w:szCs w:val="28"/>
        </w:rPr>
        <w:t>的值一直小于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 w:hint="eastAsia"/>
          <w:sz w:val="28"/>
          <w:szCs w:val="28"/>
        </w:rPr>
        <w:t>，识别正确的真阳性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一直小于被误识别为阳性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，但如果进行分类翻转，则会好于</w:t>
      </w:r>
      <w:r>
        <w:rPr>
          <w:rFonts w:ascii="Times New Roman" w:hAnsi="Times New Roman" w:cs="Times New Roman"/>
          <w:sz w:val="28"/>
          <w:szCs w:val="28"/>
        </w:rPr>
        <w:t>AUC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 w:hint="eastAsia"/>
          <w:sz w:val="28"/>
          <w:szCs w:val="28"/>
        </w:rPr>
        <w:t>的情形。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系数：</w:t>
      </w:r>
      <w:r w:rsidR="00C52E52">
        <w:rPr>
          <w:rFonts w:ascii="Times New Roman" w:hAnsi="Times New Roman" w:cs="Times New Roman" w:hint="eastAsia"/>
          <w:sz w:val="28"/>
          <w:szCs w:val="28"/>
        </w:rPr>
        <w:t>把样本的预测值与样本的平均值进行对比，如果样本预测</w:t>
      </w:r>
      <w:r w:rsidR="00C52E52">
        <w:rPr>
          <w:rFonts w:ascii="Times New Roman" w:hAnsi="Times New Roman" w:cs="Times New Roman" w:hint="eastAsia"/>
          <w:sz w:val="28"/>
          <w:szCs w:val="28"/>
        </w:rPr>
        <w:lastRenderedPageBreak/>
        <w:t>的误差平方和接近用样本的平均值当成预测值的误差平方和</w:t>
      </w:r>
      <w:r w:rsidR="00C602D7">
        <w:rPr>
          <w:rFonts w:ascii="Times New Roman" w:hAnsi="Times New Roman" w:cs="Times New Roman" w:hint="eastAsia"/>
          <w:sz w:val="28"/>
          <w:szCs w:val="28"/>
        </w:rPr>
        <w:t>，则</w:t>
      </w:r>
      <w:r w:rsidR="00C602D7">
        <w:rPr>
          <w:rFonts w:ascii="Times New Roman" w:hAnsi="Times New Roman" w:cs="Times New Roman" w:hint="eastAsia"/>
          <w:sz w:val="28"/>
          <w:szCs w:val="28"/>
        </w:rPr>
        <w:t>R2</w:t>
      </w:r>
      <w:r w:rsidR="00C602D7">
        <w:rPr>
          <w:rFonts w:ascii="Times New Roman" w:hAnsi="Times New Roman" w:cs="Times New Roman" w:hint="eastAsia"/>
          <w:sz w:val="28"/>
          <w:szCs w:val="28"/>
        </w:rPr>
        <w:t>接近</w:t>
      </w:r>
      <w:r w:rsidR="009054E4">
        <w:rPr>
          <w:rFonts w:ascii="Times New Roman" w:hAnsi="Times New Roman" w:cs="Times New Roman" w:hint="eastAsia"/>
          <w:sz w:val="28"/>
          <w:szCs w:val="28"/>
        </w:rPr>
        <w:t>0</w:t>
      </w:r>
      <w:r w:rsidR="00C602D7">
        <w:rPr>
          <w:rFonts w:ascii="Times New Roman" w:hAnsi="Times New Roman" w:cs="Times New Roman" w:hint="eastAsia"/>
          <w:sz w:val="28"/>
          <w:szCs w:val="28"/>
        </w:rPr>
        <w:t>，说明</w:t>
      </w:r>
      <w:r w:rsidR="00C602D7" w:rsidRPr="00C37EBE">
        <w:rPr>
          <w:rFonts w:ascii="Times New Roman" w:hAnsi="Times New Roman" w:cs="Times New Roman" w:hint="eastAsia"/>
          <w:color w:val="FF0000"/>
          <w:sz w:val="28"/>
          <w:szCs w:val="28"/>
        </w:rPr>
        <w:t>模型不好</w:t>
      </w:r>
      <w:r w:rsidR="00C602D7">
        <w:rPr>
          <w:rFonts w:ascii="Times New Roman" w:hAnsi="Times New Roman" w:cs="Times New Roman" w:hint="eastAsia"/>
          <w:sz w:val="28"/>
          <w:szCs w:val="28"/>
        </w:rPr>
        <w:t>。</w:t>
      </w:r>
    </w:p>
    <w:p w:rsidR="00EF2C96" w:rsidRDefault="000F6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ST</w:t>
      </w:r>
      <w:r>
        <w:rPr>
          <w:rFonts w:ascii="Times New Roman" w:hAnsi="Times New Roman" w:cs="Times New Roman" w:hint="eastAsia"/>
          <w:sz w:val="28"/>
          <w:szCs w:val="28"/>
        </w:rPr>
        <w:t>：总离差平方和</w:t>
      </w:r>
      <w:r w:rsidR="00C52E52">
        <w:rPr>
          <w:rFonts w:ascii="Times New Roman" w:hAnsi="Times New Roman" w:cs="Times New Roman" w:hint="eastAsia"/>
          <w:sz w:val="28"/>
          <w:szCs w:val="28"/>
        </w:rPr>
        <w:t>（</w:t>
      </w:r>
      <w:r w:rsidR="00C52E52" w:rsidRPr="00C52E52">
        <w:rPr>
          <w:rFonts w:ascii="Times New Roman" w:hAnsi="Times New Roman" w:cs="Times New Roman" w:hint="eastAsia"/>
          <w:color w:val="FF0000"/>
          <w:sz w:val="28"/>
          <w:szCs w:val="28"/>
        </w:rPr>
        <w:t>用样本平均值进行预测</w:t>
      </w:r>
      <w:r w:rsidR="00C52E52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EF2C96" w:rsidRPr="00EF2C96">
        <w:rPr>
          <w:position w:val="-28"/>
        </w:rPr>
        <w:object w:dxaOrig="1160" w:dyaOrig="620">
          <v:shape id="_x0000_i1036" type="#_x0000_t75" style="width:57.6pt;height:30.6pt" o:ole="">
            <v:imagedata r:id="rId32" o:title=""/>
          </v:shape>
          <o:OLEObject Type="Embed" ProgID="Equation.DSMT4" ShapeID="_x0000_i1036" DrawAspect="Content" ObjectID="_1629481930" r:id="rId33"/>
        </w:object>
      </w:r>
    </w:p>
    <w:p w:rsidR="00EF2C96" w:rsidRDefault="000F6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SE</w:t>
      </w:r>
      <w:r>
        <w:rPr>
          <w:rFonts w:ascii="Times New Roman" w:hAnsi="Times New Roman" w:cs="Times New Roman" w:hint="eastAsia"/>
          <w:sz w:val="28"/>
          <w:szCs w:val="28"/>
        </w:rPr>
        <w:t>：残差平方和（误差平方和），</w:t>
      </w:r>
      <w:r w:rsidR="00EF2C96" w:rsidRPr="00EF2C96">
        <w:rPr>
          <w:position w:val="-28"/>
        </w:rPr>
        <w:object w:dxaOrig="1219" w:dyaOrig="639">
          <v:shape id="_x0000_i1037" type="#_x0000_t75" style="width:60.6pt;height:32.4pt" o:ole="">
            <v:imagedata r:id="rId34" o:title=""/>
          </v:shape>
          <o:OLEObject Type="Embed" ProgID="Equation.DSMT4" ShapeID="_x0000_i1037" DrawAspect="Content" ObjectID="_1629481931" r:id="rId35"/>
        </w:object>
      </w:r>
    </w:p>
    <w:p w:rsidR="00EF2C96" w:rsidRDefault="00EF2C96">
      <w:pPr>
        <w:rPr>
          <w:rFonts w:ascii="Times New Roman" w:hAnsi="Times New Roman" w:cs="Times New Roman"/>
          <w:sz w:val="28"/>
          <w:szCs w:val="28"/>
        </w:rPr>
      </w:pPr>
      <w:r w:rsidRPr="00EF2C96">
        <w:rPr>
          <w:position w:val="-54"/>
        </w:rPr>
        <w:object w:dxaOrig="2079" w:dyaOrig="1219">
          <v:shape id="_x0000_i1038" type="#_x0000_t75" style="width:104.4pt;height:60.6pt" o:ole="">
            <v:imagedata r:id="rId36" o:title=""/>
          </v:shape>
          <o:OLEObject Type="Embed" ProgID="Equation.DSMT4" ShapeID="_x0000_i1038" DrawAspect="Content" ObjectID="_1629481932" r:id="rId37"/>
        </w:objec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2C96" w:rsidRDefault="000F604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好的模型，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的值应该接近于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，坏的模型，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的值接近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2C96" w:rsidRDefault="00EF2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EF2C96" w:rsidSect="00EF2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EB8" w:rsidRDefault="00EB7EB8">
      <w:r>
        <w:separator/>
      </w:r>
    </w:p>
  </w:endnote>
  <w:endnote w:type="continuationSeparator" w:id="1">
    <w:p w:rsidR="00EB7EB8" w:rsidRDefault="00EB7E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EB8" w:rsidRDefault="00EB7EB8">
      <w:r>
        <w:separator/>
      </w:r>
    </w:p>
  </w:footnote>
  <w:footnote w:type="continuationSeparator" w:id="1">
    <w:p w:rsidR="00EB7EB8" w:rsidRDefault="00EB7E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84E00"/>
    <w:multiLevelType w:val="hybridMultilevel"/>
    <w:tmpl w:val="4F029A30"/>
    <w:lvl w:ilvl="0" w:tplc="A3C67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2C96"/>
    <w:rsid w:val="00005CC4"/>
    <w:rsid w:val="000F6040"/>
    <w:rsid w:val="001509AD"/>
    <w:rsid w:val="001C74B1"/>
    <w:rsid w:val="00207522"/>
    <w:rsid w:val="0023236D"/>
    <w:rsid w:val="0025555E"/>
    <w:rsid w:val="002E4770"/>
    <w:rsid w:val="003528F8"/>
    <w:rsid w:val="00734C5F"/>
    <w:rsid w:val="009054E4"/>
    <w:rsid w:val="00971E44"/>
    <w:rsid w:val="00BC2399"/>
    <w:rsid w:val="00C37EBE"/>
    <w:rsid w:val="00C52E52"/>
    <w:rsid w:val="00C602D7"/>
    <w:rsid w:val="00CA7973"/>
    <w:rsid w:val="00E60D3C"/>
    <w:rsid w:val="00EB7EB8"/>
    <w:rsid w:val="00EF2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C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2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2C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2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2C96"/>
    <w:rPr>
      <w:sz w:val="18"/>
      <w:szCs w:val="18"/>
    </w:rPr>
  </w:style>
  <w:style w:type="table" w:styleId="a5">
    <w:name w:val="Table Grid"/>
    <w:basedOn w:val="a1"/>
    <w:uiPriority w:val="59"/>
    <w:unhideWhenUsed/>
    <w:rsid w:val="00EF2C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EF2C96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F2C96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EF2C96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0752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075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E60D3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11.vsdx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1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hyperlink" Target="https://www.plob.org/article/12476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hyperlink" Target="https://www.cnblogs.com/dlml/p/4403482.html" TargetMode="External"/><Relationship Id="rId35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10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60</cp:revision>
  <dcterms:created xsi:type="dcterms:W3CDTF">2018-03-28T11:57:00Z</dcterms:created>
  <dcterms:modified xsi:type="dcterms:W3CDTF">2019-09-08T13:04:00Z</dcterms:modified>
</cp:coreProperties>
</file>