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交叉验证（</w:t>
      </w:r>
      <w:r>
        <w:rPr>
          <w:rFonts w:ascii="Times New Roman" w:hAnsi="Times New Roman" w:cs="Times New Roman" w:hint="eastAsia"/>
          <w:sz w:val="28"/>
          <w:szCs w:val="28"/>
        </w:rPr>
        <w:t>Cross Validation, CV</w:t>
      </w:r>
      <w:r>
        <w:rPr>
          <w:rFonts w:ascii="Times New Roman" w:hAnsi="Times New Roman" w:cs="Times New Roman" w:hint="eastAsia"/>
          <w:sz w:val="28"/>
          <w:szCs w:val="28"/>
        </w:rPr>
        <w:t>）：验证分类器的性能的统计分析方法。将原始数据进行分组，一部分作为训练集（</w:t>
      </w:r>
      <w:r>
        <w:rPr>
          <w:rFonts w:ascii="Times New Roman" w:hAnsi="Times New Roman" w:cs="Times New Roman" w:hint="eastAsia"/>
          <w:sz w:val="28"/>
          <w:szCs w:val="28"/>
        </w:rPr>
        <w:t>train set</w:t>
      </w:r>
      <w:r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>
        <w:rPr>
          <w:rFonts w:ascii="Times New Roman" w:hAnsi="Times New Roman" w:cs="Times New Roman" w:hint="eastAsia"/>
          <w:sz w:val="28"/>
          <w:szCs w:val="28"/>
        </w:rPr>
        <w:t>validation set</w:t>
      </w:r>
      <w:r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折交叉验证</w:t>
      </w:r>
      <w:r>
        <w:rPr>
          <w:rFonts w:ascii="Times New Roman" w:hAnsi="Times New Roman" w:cs="Times New Roman" w:hint="eastAsia"/>
          <w:sz w:val="28"/>
          <w:szCs w:val="28"/>
        </w:rPr>
        <w:t>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个模型，用这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>
        <w:rPr>
          <w:rFonts w:ascii="Times New Roman" w:hAnsi="Times New Roman" w:cs="Times New Roman" w:hint="eastAsia"/>
          <w:sz w:val="28"/>
          <w:szCs w:val="28"/>
        </w:rPr>
        <w:t>K-CV</w:t>
      </w:r>
      <w:r>
        <w:rPr>
          <w:rFonts w:ascii="Times New Roman" w:hAnsi="Times New Roman" w:cs="Times New Roman" w:hint="eastAsia"/>
          <w:sz w:val="28"/>
          <w:szCs w:val="28"/>
        </w:rPr>
        <w:t>下分类器的性能指标，常用的是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留一法交叉验证</w:t>
      </w:r>
      <w:r>
        <w:rPr>
          <w:rFonts w:ascii="Times New Roman" w:hAnsi="Times New Roman" w:cs="Times New Roman" w:hint="eastAsia"/>
          <w:sz w:val="28"/>
          <w:szCs w:val="28"/>
        </w:rPr>
        <w:t>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优点：每个模型几乎都是所有样本都参与训练，得到的模型最接近原始样本分布；实验没有随机因素，可重复。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学习曲线：横轴为训练样本数目，纵轴为准确率（优达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教程中为误差</w:t>
      </w:r>
      <w:r>
        <w:rPr>
          <w:rFonts w:ascii="Times New Roman" w:hAnsi="Times New Roman" w:cs="Times New Roman" w:hint="eastAsia"/>
          <w:sz w:val="28"/>
          <w:szCs w:val="28"/>
        </w:rPr>
        <w:t>），有两条曲线（有时会有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条），分别为：不同样本数目下训练准确率曲线和验证准确率曲线。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022389" cy="417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471-cc0db48e0b91b13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1" cy="41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左上角是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高偏差模型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，训练准确率和验证准确率会逐渐收敛到一起，但准确率都比较低，代表着欠拟合。对于欠拟合，可以增加模型参数，构建更多的特征，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通过增加数据量来解决。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右上角为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高方差模型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，训练准确率很高，但验证准确率很低，二者不收敛，代表着过拟合。对于过拟合，可以增大训练集，降低模型复杂度，减少特征来解决。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网格搜索：利用穷举法尝试模型中参数的各种组合，从而得到最优的模型参数。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多个参数（大于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进行参数调优。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anchor="sphx-glr-auto-examples-model-selection-plot-grid-search-digits-py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https://scikit-learn.org/stable/auto_examples/model_selection/plot_grid_search_digits.html#sphx-glr-auto-examples-model-selection-plot-grid-search-digits-py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该例子对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amma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同时进行搜索。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CE13621-226A-47BB-8AD0-07AB42AD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auto_examples/model_selection/plot_grid_search_digi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</cp:revision>
  <dcterms:created xsi:type="dcterms:W3CDTF">2018-03-28T11:57:00Z</dcterms:created>
  <dcterms:modified xsi:type="dcterms:W3CDTF">2018-11-20T07:33:00Z</dcterms:modified>
</cp:coreProperties>
</file>