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矩阵求导：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布局约定：分子布局和分母布局。分子布局与分母布局相差一个转置。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对于一个向量</w:t>
      </w:r>
      <w:r>
        <w:rPr>
          <w:position w:val="-68"/>
        </w:rPr>
        <w:object w:dxaOrig="9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pt;height:74.25pt" o:ole="">
            <v:imagedata r:id="rId7" o:title=""/>
          </v:shape>
          <o:OLEObject Type="Embed" ProgID="Equation.DSMT4" ShapeID="_x0000_i1030" DrawAspect="Content" ObjectID="_1604491723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，关于标量</w:t>
      </w:r>
      <w:r>
        <w:rPr>
          <w:position w:val="-6"/>
        </w:rPr>
        <w:object w:dxaOrig="200" w:dyaOrig="220">
          <v:shape id="_x0000_i1031" type="#_x0000_t75" style="width:9.75pt;height:11.25pt" o:ole="">
            <v:imagedata r:id="rId9" o:title=""/>
          </v:shape>
          <o:OLEObject Type="Embed" ProgID="Equation.DSMT4" ShapeID="_x0000_i1031" DrawAspect="Content" ObjectID="_1604491724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的求导，在分子布局下：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10"/>
        </w:rPr>
        <w:object w:dxaOrig="1160" w:dyaOrig="2320">
          <v:shape id="_x0000_i1032" type="#_x0000_t75" style="width:57.75pt;height:116.25pt" o:ole="">
            <v:imagedata r:id="rId11" o:title=""/>
          </v:shape>
          <o:OLEObject Type="Embed" ProgID="Equation.DSMT4" ShapeID="_x0000_i1032" DrawAspect="Content" ObjectID="_1604491725" r:id="rId12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即与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保持一致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分母布局：与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保持一致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720" w:dyaOrig="680">
          <v:shape id="_x0000_i1033" type="#_x0000_t75" style="width:135.75pt;height:33.75pt" o:ole="">
            <v:imagedata r:id="rId13" o:title=""/>
          </v:shape>
          <o:OLEObject Type="Embed" ProgID="Equation.DSMT4" ShapeID="_x0000_i1033" DrawAspect="Content" ObjectID="_1604491726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本次按照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分子布局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为标量。</w: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24"/>
        </w:rPr>
        <w:object w:dxaOrig="340" w:dyaOrig="620">
          <v:shape id="_x0000_i1034" type="#_x0000_t75" style="width:17.25pt;height:30.75pt" o:ole="">
            <v:imagedata r:id="rId15" o:title=""/>
          </v:shape>
          <o:OLEObject Type="Embed" ProgID="Equation.DSMT4" ShapeID="_x0000_i1034" DrawAspect="Content" ObjectID="_1604491727" r:id="rId16"/>
        </w:objec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为向量，导数为：</w:t>
      </w:r>
      <w:r>
        <w:rPr>
          <w:position w:val="-110"/>
        </w:rPr>
        <w:object w:dxaOrig="1160" w:dyaOrig="2320">
          <v:shape id="_x0000_i1035" type="#_x0000_t75" style="width:57.75pt;height:116.25pt" o:ole="">
            <v:imagedata r:id="rId11" o:title=""/>
          </v:shape>
          <o:OLEObject Type="Embed" ProgID="Equation.DSMT4" ShapeID="_x0000_i1035" DrawAspect="Content" ObjectID="_1604491728" r:id="rId17"/>
        </w:objec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为矩阵</w:t>
      </w:r>
      <w:r>
        <w:rPr>
          <w:position w:val="-6"/>
        </w:rPr>
        <w:object w:dxaOrig="560" w:dyaOrig="220">
          <v:shape id="_x0000_i1038" type="#_x0000_t75" style="width:27.75pt;height:11.25pt" o:ole="">
            <v:imagedata r:id="rId18" o:title=""/>
          </v:shape>
          <o:OLEObject Type="Embed" ProgID="Equation.DSMT4" ShapeID="_x0000_i1038" DrawAspect="Content" ObjectID="_1604491729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，导数为：</w:t>
      </w:r>
      <w:r>
        <w:rPr>
          <w:position w:val="-110"/>
        </w:rPr>
        <w:object w:dxaOrig="3040" w:dyaOrig="2320">
          <v:shape id="_x0000_i1036" type="#_x0000_t75" style="width:152.25pt;height:116.25pt" o:ole="">
            <v:imagedata r:id="rId20" o:title=""/>
          </v:shape>
          <o:OLEObject Type="Embed" ProgID="Equation.DSMT4" ShapeID="_x0000_i1036" DrawAspect="Content" ObjectID="_1604491730" r:id="rId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为向量</w: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32"/>
        </w:rPr>
        <w:object w:dxaOrig="2700" w:dyaOrig="760">
          <v:shape id="_x0000_i1037" type="#_x0000_t75" style="width:135pt;height:38.25pt" o:ole="">
            <v:imagedata r:id="rId22" o:title=""/>
          </v:shape>
          <o:OLEObject Type="Embed" ProgID="Equation.DSMT4" ShapeID="_x0000_i1037" DrawAspect="Content" ObjectID="_1604491731" r:id="rId23"/>
        </w:objec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这是（</w:t>
      </w:r>
      <w:r>
        <w:rPr>
          <w:rFonts w:hint="eastAsia"/>
          <w:sz w:val="24"/>
          <w:szCs w:val="24"/>
        </w:rPr>
        <w:t>分子布局</w:t>
      </w:r>
      <w:r>
        <w:rPr>
          <w:rFonts w:hint="eastAsia"/>
          <w:sz w:val="24"/>
          <w:szCs w:val="24"/>
        </w:rPr>
        <w:t>）</w:t>
      </w:r>
    </w:p>
    <w:p>
      <w:pPr>
        <w:pStyle w:val="a7"/>
        <w:spacing w:line="400" w:lineRule="exact"/>
        <w:ind w:left="42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为向量，导数为：</w:t>
      </w:r>
      <w:r>
        <w:rPr>
          <w:position w:val="-118"/>
        </w:rPr>
        <w:object w:dxaOrig="2840" w:dyaOrig="2480">
          <v:shape id="_x0000_i1041" type="#_x0000_t75" style="width:141.75pt;height:123.75pt" o:ole="">
            <v:imagedata r:id="rId24" o:title=""/>
          </v:shape>
          <o:OLEObject Type="Embed" ProgID="Equation.DSMT4" ShapeID="_x0000_i1041" DrawAspect="Content" ObjectID="_1604491732" r:id="rId25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导数矩阵的每一行为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中的每个分量对向量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的导数。这个导数矩阵为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雅克比矩阵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ind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为矩阵</w:t>
      </w:r>
      <w:r>
        <w:rPr>
          <w:position w:val="-6"/>
        </w:rPr>
        <w:object w:dxaOrig="560" w:dyaOrig="220">
          <v:shape id="_x0000_i1042" type="#_x0000_t75" style="width:27.75pt;height:11.25pt" o:ole="">
            <v:imagedata r:id="rId26" o:title=""/>
          </v:shape>
          <o:OLEObject Type="Embed" ProgID="Equation.DSMT4" ShapeID="_x0000_i1042" DrawAspect="Content" ObjectID="_1604491733" r:id="rId2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118"/>
        </w:rPr>
        <w:object w:dxaOrig="3019" w:dyaOrig="2480">
          <v:shape id="_x0000_i1043" type="#_x0000_t75" style="width:150.75pt;height:123.75pt" o:ole="">
            <v:imagedata r:id="rId28" o:title=""/>
          </v:shape>
          <o:OLEObject Type="Embed" ProgID="Equation.DSMT4" ShapeID="_x0000_i1043" DrawAspect="Content" ObjectID="_1604491734" r:id="rId29"/>
        </w:objec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这个矩阵为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梯度矩阵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4B60"/>
    <w:multiLevelType w:val="multilevel"/>
    <w:tmpl w:val="F8B24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0FC5084-BC92-4ACB-AE49-0F5A2E6C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26</cp:revision>
  <dcterms:created xsi:type="dcterms:W3CDTF">2018-03-28T11:57:00Z</dcterms:created>
  <dcterms:modified xsi:type="dcterms:W3CDTF">2018-11-23T07:19:00Z</dcterms:modified>
</cp:coreProperties>
</file>