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https://blog.csdn.net/mieleizhi0522/article/details/80200126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https://blog.csdn.net/tsyccnh/article/details/79163834</w:t>
        </w:r>
      </w:hyperlink>
    </w:p>
    <w:p>
      <w:pPr>
        <w:spacing w:line="400" w:lineRule="exact"/>
        <w:rPr>
          <w:rStyle w:val="a7"/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https://www.cnblogs.com/ljy2013/p/6432269.html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信息量：下面的例子：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：巴西队进入世界杯决赛圈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：中国队进入世界杯决赛圈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的信息量更大，因为其发生的概率小，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概率越小的事件发生，其信息量就越大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607521622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7.75pt;height:20.25pt" o:ole="">
            <v:imagedata r:id="rId12" o:title=""/>
          </v:shape>
          <o:OLEObject Type="Embed" ProgID="Equation.DSMT4" ShapeID="_x0000_i1026" DrawAspect="Content" ObjectID="_1607521623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5.25pt;height:18pt" o:ole="">
            <v:imagedata r:id="rId14" o:title=""/>
          </v:shape>
          <o:OLEObject Type="Embed" ProgID="Equation.DSMT4" ShapeID="_x0000_i1027" DrawAspect="Content" ObjectID="_1607521624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4.25pt;height:20.25pt" o:ole="">
            <v:imagedata r:id="rId16" o:title=""/>
          </v:shape>
          <o:OLEObject Type="Embed" ProgID="Equation.DSMT4" ShapeID="_x0000_i1028" DrawAspect="Content" ObjectID="_1607521625" r:id="rId1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30.75pt;height:20.25pt" o:ole="">
            <v:imagedata r:id="rId18" o:title=""/>
          </v:shape>
          <o:OLEObject Type="Embed" ProgID="Equation.DSMT4" ShapeID="_x0000_i1029" DrawAspect="Content" ObjectID="_1607521626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141.75pt;height:33.75pt" o:ole="">
            <v:imagedata r:id="rId20" o:title=""/>
          </v:shape>
          <o:OLEObject Type="Embed" ProgID="Equation.DSMT4" ShapeID="_x0000_i1030" DrawAspect="Content" ObjectID="_1607521627" r:id="rId2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单分类（二项分布，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 w:hint="eastAsia"/>
          <w:sz w:val="28"/>
          <w:szCs w:val="28"/>
        </w:rPr>
        <w:t>）的信息熵为：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4780" w:dyaOrig="320">
          <v:shape id="_x0000_i1031" type="#_x0000_t75" style="width:239.25pt;height:15.75pt" o:ole="">
            <v:imagedata r:id="rId22" o:title=""/>
          </v:shape>
          <o:OLEObject Type="Embed" ProgID="Equation.DSMT4" ShapeID="_x0000_i1031" DrawAspect="Content" ObjectID="_1607521628" r:id="rId2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交叉熵：其中</w:t>
      </w:r>
      <w:r>
        <w:rPr>
          <w:position w:val="-10"/>
        </w:rPr>
        <w:object w:dxaOrig="240" w:dyaOrig="260">
          <v:shape id="_x0000_i1032" type="#_x0000_t75" style="width:12pt;height:12.75pt" o:ole="">
            <v:imagedata r:id="rId24" o:title=""/>
          </v:shape>
          <o:OLEObject Type="Embed" ProgID="Equation.DSMT4" ShapeID="_x0000_i1032" DrawAspect="Content" ObjectID="_1607521629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>
        <w:rPr>
          <w:position w:val="-10"/>
        </w:rPr>
        <w:object w:dxaOrig="200" w:dyaOrig="260">
          <v:shape id="_x0000_i1033" type="#_x0000_t75" style="width:9.75pt;height:12.75pt" o:ole="">
            <v:imagedata r:id="rId26" o:title=""/>
          </v:shape>
          <o:OLEObject Type="Embed" ProgID="Equation.DSMT4" ShapeID="_x0000_i1033" DrawAspect="Content" ObjectID="_1607521630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为可能性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980" w:dyaOrig="680">
          <v:shape id="_x0000_i1036" type="#_x0000_t75" style="width:149.25pt;height:33.75pt" o:ole="">
            <v:imagedata r:id="rId28" o:title=""/>
          </v:shape>
          <o:OLEObject Type="Embed" ProgID="Equation.DSMT4" ShapeID="_x0000_i1036" DrawAspect="Content" ObjectID="_1607521631" r:id="rId2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交叉熵越小，则表示预测分布与真实分布越接近。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对于二项分布：</w:t>
      </w:r>
      <w:r>
        <w:rPr>
          <w:rFonts w:ascii="Times New Roman" w:hAnsi="Times New Roman" w:cs="Times New Roman" w:hint="eastAsia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，交叉熵为：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4880" w:dyaOrig="320">
          <v:shape id="_x0000_i1047" type="#_x0000_t75" style="width:243.75pt;height:15.75pt" o:ole="">
            <v:imagedata r:id="rId30" o:title=""/>
          </v:shape>
          <o:OLEObject Type="Embed" ProgID="Equation.DSMT4" ShapeID="_x0000_i1047" DrawAspect="Content" ObjectID="_1607521632" r:id="rId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如果有多个样本：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8"/>
        </w:rPr>
        <w:object w:dxaOrig="5400" w:dyaOrig="680">
          <v:shape id="_x0000_i1050" type="#_x0000_t75" style="width:270pt;height:33.75pt" o:ole="">
            <v:imagedata r:id="rId32" o:title=""/>
          </v:shape>
          <o:OLEObject Type="Embed" ProgID="Equation.DSMT4" ShapeID="_x0000_i1050" DrawAspect="Content" ObjectID="_1607521633" r:id="rId3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优达学城的例子：有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（样本数）道门，绿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红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蓝，是否有礼物，真实预测为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1, 1, 0)</w:t>
      </w:r>
      <w:r>
        <w:rPr>
          <w:rFonts w:ascii="Times New Roman" w:hAnsi="Times New Roman" w:cs="Times New Roman" w:hint="eastAsia"/>
          <w:sz w:val="28"/>
          <w:szCs w:val="28"/>
        </w:rPr>
        <w:t>，预测的概率为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0.8, 0.7, 0.1)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ln0.8-ln0.7-ln0.9=0.69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0.2, 0.3, 0.9)</w:t>
      </w:r>
      <w:r>
        <w:rPr>
          <w:rFonts w:ascii="Times New Roman" w:hAnsi="Times New Roman" w:cs="Times New Roman" w:hint="eastAsia"/>
          <w:sz w:val="28"/>
          <w:szCs w:val="28"/>
        </w:rPr>
        <w:t>，则交叉熵为：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ln0.2-ln0.3-ln0.1=5.12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可以看出，预测结果与真实越接近，交叉熵越小，相反，交叉熵越大。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个类别，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个样本，交叉熵为：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0"/>
        </w:rPr>
        <w:object w:dxaOrig="2760" w:dyaOrig="700">
          <v:shape id="_x0000_i1051" type="#_x0000_t75" style="width:138pt;height:35.25pt" o:ole="">
            <v:imagedata r:id="rId34" o:title=""/>
          </v:shape>
          <o:OLEObject Type="Embed" ProgID="Equation.DSMT4" ShapeID="_x0000_i1051" DrawAspect="Content" ObjectID="_1607521634" r:id="rId3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14"/>
        </w:rPr>
        <w:object w:dxaOrig="1900" w:dyaOrig="380">
          <v:shape id="_x0000_i1052" type="#_x0000_t75" style="width:95.25pt;height:18.75pt" o:ole="">
            <v:imagedata r:id="rId36" o:title=""/>
          </v:shape>
          <o:OLEObject Type="Embed" ProgID="Equation.DSMT4" ShapeID="_x0000_i1052" DrawAspect="Content" ObjectID="_1607521635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每个样本，各种类别的概率相加为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5:docId w15:val="{4D89EA7E-8F98-481B-8E3E-3ECEF322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jmyzz/p/7822990.html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7" Type="http://schemas.openxmlformats.org/officeDocument/2006/relationships/hyperlink" Target="https://blog.csdn.net/tsyccnh/article/details/79163834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blog.csdn.net/mieleizhi0522/article/details/80200126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hyperlink" Target="https://www.cnblogs.com/ljy2013/p/6432269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35</cp:revision>
  <dcterms:created xsi:type="dcterms:W3CDTF">2018-03-28T11:57:00Z</dcterms:created>
  <dcterms:modified xsi:type="dcterms:W3CDTF">2018-12-28T08:58:00Z</dcterms:modified>
</cp:coreProperties>
</file>