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监督学习大体上可以分为：分类学习和回归预测。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监督学习的基本架构和流程：</w: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="Times New Roman" w:hAnsi="Times New Roman" w:cs="Times New Roman"/>
        </w:rPr>
        <w:object w:dxaOrig="10365" w:dyaOrig="4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194.25pt" o:ole="">
            <v:imagedata r:id="rId7" o:title=""/>
          </v:shape>
          <o:OLEObject Type="Embed" ProgID="Visio.Drawing.15" ShapeID="_x0000_i1025" DrawAspect="Content" ObjectID="_1603803581" r:id="rId8"/>
        </w:object>
      </w:r>
    </w:p>
    <w:p>
      <w:pPr>
        <w:rPr>
          <w:rFonts w:asciiTheme="minorEastAsia" w:hAnsiTheme="minorEastAsia" w:cs="Times New Roman"/>
          <w:sz w:val="28"/>
          <w:szCs w:val="28"/>
        </w:rPr>
      </w:pPr>
      <w:r>
        <w:rPr>
          <w:rFonts w:asciiTheme="minorEastAsia" w:hAnsiTheme="minorEastAsia" w:cs="Times New Roman" w:hint="eastAsia"/>
          <w:sz w:val="28"/>
          <w:szCs w:val="28"/>
        </w:rPr>
        <w:t>线性分类</w:t>
      </w:r>
    </w:p>
    <w:p>
      <w:pPr>
        <w:rPr>
          <w:rFonts w:asciiTheme="minorEastAsia" w:hAnsiTheme="minorEastAsia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良性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恶性肿瘤分类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例：程序</w:t>
      </w:r>
      <w:r>
        <w:rPr>
          <w:rFonts w:ascii="Times New Roman" w:hAnsi="Times New Roman" w:cs="Times New Roman"/>
          <w:sz w:val="28"/>
          <w:szCs w:val="28"/>
        </w:rPr>
        <w:t>machine_learning/classfication_test1.py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0"/>
          <w:szCs w:val="30"/>
        </w:rPr>
      </w:pP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pandas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pd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numpy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as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np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sklearn.model_selection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train_test_split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sklearn.preprocessing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StandardScaler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LogisticRegression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sklearn.linear_model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SGDClassifier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from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 xml:space="preserve">sklearn.metrics 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import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classification_report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lastRenderedPageBreak/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创建特征列表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column_names = 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'Sample code number'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'Clump Thickness'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'Uniformity of Cell Shape'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'Marginal Adhesion'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'Single Epithelial Cell Size'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'Bare Nuclei'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'Bland Chromatin'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'Normal Nucleoli'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'Mitoses'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'Class'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读取数据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pd.read_csv(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'https://archive.ics.uci.edu/ml/'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br/>
        <w:t xml:space="preserve">                   'machine-learning-databases/breast-cancer-wisconsin/breast-cancer-wisconsin.data'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=column_names)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将缺省值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?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替换为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NumPy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的标准缺失值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 = data.replace(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to_replace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'?'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value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=np.nan)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data = data.dropna(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how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'any'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将数据保存成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csv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文件，不加行索引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data.to_csv('total.csv', index=False)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lastRenderedPageBreak/>
        <w:br/>
        <w:t># print(data.shape)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数据分割，多少训练，多少预测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data[column_names[1:10]]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data[column_names[10]]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：样本标签集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y_train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：训练标签集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X_test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：测试特征集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y_test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：测试标签集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 = \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 xml:space="preserve">    train_test_split(data[column_names[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: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data[column_names[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10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]]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test_size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0.25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random_state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</w:t>
      </w:r>
      <w:r>
        <w:rPr>
          <w:rFonts w:ascii="Consolas" w:eastAsia="宋体" w:hAnsi="Consolas" w:cs="宋体"/>
          <w:color w:val="6897BB"/>
          <w:kern w:val="0"/>
          <w:sz w:val="30"/>
          <w:szCs w:val="30"/>
        </w:rPr>
        <w:t>33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Excel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列号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+1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第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2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'Class'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列的值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print(y_train)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标准化数据，每个维度的特征数据方差为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1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，均值为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0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会将每个维度的数据标准为正负值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ss = StandardScaler()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将数据类型转换为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X_train = X_train.astype(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X_test.astype(</w:t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float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X_train = ss.fit_transform(X_train)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X_test = ss.transform(X_test)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LR = LogisticRegression()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  <w:t>SGDC = SGDClassifier()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LogisticRegression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 = LR.predict(X_test)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调用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SGDClassifier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来训练模型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SGDC.fit(X_train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y_train)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预测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 = SGDC.predict(X_test)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 xml:space="preserve"># 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t>结果分析</w:t>
      </w:r>
      <w:r>
        <w:rPr>
          <w:rFonts w:ascii="宋体" w:eastAsia="宋体" w:hAnsi="宋体" w:cs="宋体" w:hint="eastAsia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LR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LR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lr_y_predict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>\n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t># SGDC</w:t>
      </w:r>
      <w:r>
        <w:rPr>
          <w:rFonts w:ascii="Consolas" w:eastAsia="宋体" w:hAnsi="Consolas" w:cs="宋体"/>
          <w:color w:val="808080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'Accuracy of SGDC Classifier: 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SGDC.score(X_test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y_test))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br/>
      </w:r>
      <w:r>
        <w:rPr>
          <w:rFonts w:ascii="Consolas" w:eastAsia="宋体" w:hAnsi="Consolas" w:cs="宋体"/>
          <w:color w:val="8888C6"/>
          <w:kern w:val="0"/>
          <w:sz w:val="30"/>
          <w:szCs w:val="30"/>
        </w:rPr>
        <w:t>print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(classification_report(y_test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sgdc_y_predict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AA4926"/>
          <w:kern w:val="0"/>
          <w:sz w:val="30"/>
          <w:szCs w:val="30"/>
        </w:rPr>
        <w:t>target_names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=[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'Benign'</w:t>
      </w:r>
      <w:r>
        <w:rPr>
          <w:rFonts w:ascii="Consolas" w:eastAsia="宋体" w:hAnsi="Consolas" w:cs="宋体"/>
          <w:color w:val="CC7832"/>
          <w:kern w:val="0"/>
          <w:sz w:val="30"/>
          <w:szCs w:val="30"/>
        </w:rPr>
        <w:t xml:space="preserve">, </w:t>
      </w:r>
      <w:r>
        <w:rPr>
          <w:rFonts w:ascii="Consolas" w:eastAsia="宋体" w:hAnsi="Consolas" w:cs="宋体"/>
          <w:color w:val="6A8759"/>
          <w:kern w:val="0"/>
          <w:sz w:val="30"/>
          <w:szCs w:val="30"/>
        </w:rPr>
        <w:t>'Malignant'</w:t>
      </w:r>
      <w:r>
        <w:rPr>
          <w:rFonts w:ascii="Consolas" w:eastAsia="宋体" w:hAnsi="Consolas" w:cs="宋体"/>
          <w:color w:val="A9B7C6"/>
          <w:kern w:val="0"/>
          <w:sz w:val="30"/>
          <w:szCs w:val="30"/>
        </w:rPr>
        <w:t>]))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</w:t>
      </w:r>
      <w:r>
        <w:rPr>
          <w:rFonts w:ascii="Times New Roman" w:hAnsi="Times New Roman" w:cs="Times New Roman"/>
          <w:sz w:val="28"/>
          <w:szCs w:val="28"/>
        </w:rPr>
        <w:t>分类的三个评价指标：</w:t>
      </w:r>
    </w:p>
    <w:p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准确性（</w:t>
      </w:r>
      <w:r>
        <w:rPr>
          <w:rFonts w:ascii="Times New Roman" w:hAnsi="Times New Roman" w:cs="Times New Roman"/>
          <w:sz w:val="28"/>
          <w:szCs w:val="28"/>
        </w:rPr>
        <w:t>Accuracy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080" w:dyaOrig="760">
          <v:shape id="_x0000_i1026" type="#_x0000_t75" style="width:303.75pt;height:38.25pt" o:ole="">
            <v:imagedata r:id="rId9" o:title=""/>
          </v:shape>
          <o:OLEObject Type="Embed" ProgID="Equation.DSMT4" ShapeID="_x0000_i1026" DrawAspect="Content" ObjectID="_1603803582" r:id="rId1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对应到本例中，类别有两种：恶性</w:t>
      </w:r>
      <w:r>
        <w:rPr>
          <w:rFonts w:ascii="Times New Roman" w:hAnsi="Times New Roman" w:cs="Times New Roman" w:hint="eastAsia"/>
          <w:sz w:val="28"/>
          <w:szCs w:val="28"/>
        </w:rPr>
        <w:t>/</w:t>
      </w:r>
      <w:r>
        <w:rPr>
          <w:rFonts w:ascii="Times New Roman" w:hAnsi="Times New Roman" w:cs="Times New Roman" w:hint="eastAsia"/>
          <w:sz w:val="28"/>
          <w:szCs w:val="28"/>
        </w:rPr>
        <w:t>良性，记恶性为阳（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ositive</w:t>
      </w:r>
      <w:r>
        <w:rPr>
          <w:rFonts w:ascii="Times New Roman" w:hAnsi="Times New Roman" w:cs="Times New Roman" w:hint="eastAsia"/>
          <w:sz w:val="28"/>
          <w:szCs w:val="28"/>
        </w:rPr>
        <w:t>），良性为阴（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egative</w:t>
      </w:r>
      <w:r>
        <w:rPr>
          <w:rFonts w:ascii="Times New Roman" w:hAnsi="Times New Roman" w:cs="Times New Roman" w:hint="eastAsia"/>
          <w:sz w:val="28"/>
          <w:szCs w:val="28"/>
        </w:rPr>
        <w:t>），则预测正确恶性为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Positive</w:t>
      </w:r>
      <w:r>
        <w:rPr>
          <w:rFonts w:ascii="Times New Roman" w:hAnsi="Times New Roman" w:cs="Times New Roman" w:hint="eastAsia"/>
          <w:sz w:val="28"/>
          <w:szCs w:val="28"/>
        </w:rPr>
        <w:t>，预测错误恶性为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Positive</w:t>
      </w:r>
      <w:r>
        <w:rPr>
          <w:rFonts w:ascii="Times New Roman" w:hAnsi="Times New Roman" w:cs="Times New Roman" w:hint="eastAsia"/>
          <w:sz w:val="28"/>
          <w:szCs w:val="28"/>
        </w:rPr>
        <w:t>，预测正确良性为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rue Negative</w:t>
      </w:r>
      <w:r>
        <w:rPr>
          <w:rFonts w:ascii="Times New Roman" w:hAnsi="Times New Roman" w:cs="Times New Roman" w:hint="eastAsia"/>
          <w:sz w:val="28"/>
          <w:szCs w:val="28"/>
        </w:rPr>
        <w:t>，预测错误良性为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alse Negative</w:t>
      </w:r>
      <w:r>
        <w:rPr>
          <w:rFonts w:ascii="Times New Roman" w:hAnsi="Times New Roman" w:cs="Times New Roman" w:hint="eastAsia"/>
          <w:sz w:val="28"/>
          <w:szCs w:val="28"/>
        </w:rPr>
        <w:t>。准确性为：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7920" w:dyaOrig="740">
          <v:shape id="_x0000_i1027" type="#_x0000_t75" style="width:396pt;height:36.75pt" o:ole="">
            <v:imagedata r:id="rId11" o:title=""/>
          </v:shape>
          <o:OLEObject Type="Embed" ProgID="Equation.DSMT4" ShapeID="_x0000_i1027" DrawAspect="Content" ObjectID="_1603803583" r:id="rId12"/>
        </w:object>
      </w: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精确率（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recision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100" w:dyaOrig="660">
          <v:shape id="_x0000_i1028" type="#_x0000_t75" style="width:255pt;height:33pt" o:ole="">
            <v:imagedata r:id="rId13" o:title=""/>
          </v:shape>
          <o:OLEObject Type="Embed" ProgID="Equation.DSMT4" ShapeID="_x0000_i1028" DrawAspect="Content" ObjectID="_1603803584" r:id="rId1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对于本例：两个类别的精确率分别为：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620" w:dyaOrig="740">
          <v:shape id="_x0000_i1029" type="#_x0000_t75" style="width:180.75pt;height:36.75pt" o:ole="">
            <v:imagedata r:id="rId15" o:title=""/>
          </v:shape>
          <o:OLEObject Type="Embed" ProgID="Equation.DSMT4" ShapeID="_x0000_i1029" DrawAspect="Content" ObjectID="_1603803585" r:id="rId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80" w:dyaOrig="740">
          <v:shape id="_x0000_i1030" type="#_x0000_t75" style="width:189pt;height:36.75pt" o:ole="">
            <v:imagedata r:id="rId17" o:title=""/>
          </v:shape>
          <o:OLEObject Type="Embed" ProgID="Equation.DSMT4" ShapeID="_x0000_i1030" DrawAspect="Content" ObjectID="_1603803586" r:id="rId18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7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召回率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Recall)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5640" w:dyaOrig="660">
          <v:shape id="_x0000_i1031" type="#_x0000_t75" style="width:282pt;height:33pt" o:ole="">
            <v:imagedata r:id="rId19" o:title=""/>
          </v:shape>
          <o:OLEObject Type="Embed" ProgID="Equation.DSMT4" ShapeID="_x0000_i1031" DrawAspect="Content" ObjectID="_1603803587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其中：</w:t>
      </w:r>
      <w:r>
        <w:rPr>
          <w:rFonts w:ascii="Times New Roman" w:hAnsi="Times New Roman" w:cs="Times New Roman" w:hint="eastAsia"/>
          <w:sz w:val="28"/>
          <w:szCs w:val="28"/>
        </w:rPr>
        <w:t>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个分类预测错误样本即为应该被预测为本分类，却被识别为另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个分类的样本。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本例中：两个类别的召回率分别为：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2" type="#_x0000_t75" style="width:185.25pt;height:36.75pt" o:ole="">
            <v:imagedata r:id="rId21" o:title=""/>
          </v:shape>
          <o:OLEObject Type="Embed" ProgID="Equation.DSMT4" ShapeID="_x0000_i1032" DrawAspect="Content" ObjectID="_1603803588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3700" w:dyaOrig="740">
          <v:shape id="_x0000_i1033" type="#_x0000_t75" style="width:185.25pt;height:36.75pt" o:ole="">
            <v:imagedata r:id="rId23" o:title=""/>
          </v:shape>
          <o:OLEObject Type="Embed" ProgID="Equation.DSMT4" ShapeID="_x0000_i1033" DrawAspect="Content" ObjectID="_1603803589" r:id="rId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另外还有一个调和指标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 measure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54"/>
        </w:rPr>
        <w:object w:dxaOrig="3260" w:dyaOrig="920">
          <v:shape id="_x0000_i1036" type="#_x0000_t75" style="width:162.75pt;height:45.75pt" o:ole="">
            <v:imagedata r:id="rId25" o:title=""/>
          </v:shape>
          <o:OLEObject Type="Embed" ProgID="Equation.DSMT4" ShapeID="_x0000_i1036" DrawAspect="Content" ObjectID="_1603803590" r:id="rId2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β得分：</w:t>
      </w:r>
      <w:r>
        <w:rPr>
          <w:position w:val="-28"/>
        </w:rPr>
        <w:object w:dxaOrig="4320" w:dyaOrig="660">
          <v:shape id="_x0000_i1041" type="#_x0000_t75" style="width:215.25pt;height:33pt" o:ole="">
            <v:imagedata r:id="rId27" o:title=""/>
          </v:shape>
          <o:OLEObject Type="Embed" ProgID="Equation.DSMT4" ShapeID="_x0000_i1041" DrawAspect="Content" ObjectID="_1603803591" r:id="rId28"/>
        </w:object>
      </w:r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β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β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的情况，</w:t>
      </w:r>
      <w:r>
        <w:rPr>
          <w:rFonts w:ascii="Times New Roman" w:hAnsi="Times New Roman" w:cs="Times New Roman" w:hint="eastAsia"/>
          <w:sz w:val="28"/>
          <w:szCs w:val="28"/>
        </w:rPr>
        <w:t>β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代表更偏向召回率，</w:t>
      </w:r>
      <w:r>
        <w:rPr>
          <w:rFonts w:ascii="Times New Roman" w:hAnsi="Times New Roman" w:cs="Times New Roman" w:hint="eastAsia"/>
          <w:sz w:val="28"/>
          <w:szCs w:val="28"/>
        </w:rPr>
        <w:t>β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代表更偏向精度。</w:t>
      </w: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对于多分类的情况，对于某一分类计算精确率和召回率时，将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其他分类统一看成另一分类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支持向量机：寻找可能最佳的线性分类器。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84E00"/>
    <w:multiLevelType w:val="hybridMultilevel"/>
    <w:tmpl w:val="4F029A30"/>
    <w:lvl w:ilvl="0" w:tplc="A3C671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."/>
  <w:listSeparator w:val=","/>
  <w15:docId w15:val="{CE0ACBD6-F035-4ED6-A483-7F32AD14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e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30</cp:revision>
  <dcterms:created xsi:type="dcterms:W3CDTF">2018-03-28T11:57:00Z</dcterms:created>
  <dcterms:modified xsi:type="dcterms:W3CDTF">2018-11-15T08:13:00Z</dcterms:modified>
</cp:coreProperties>
</file>