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SOW-2025-021</w:t>
            </w:r>
          </w:p>
        </w:tc>
      </w:tr>
      <w:tr>
        <w:tc>
          <w:tcPr>
            <w:tcW w:type="dxa" w:w="4320"/>
          </w:tcPr>
          <w:p>
            <w:r>
              <w:rPr>
                <w:b/>
              </w:rPr>
              <w:t>Client</w:t>
            </w:r>
          </w:p>
        </w:tc>
        <w:tc>
          <w:tcPr>
            <w:tcW w:type="dxa" w:w="4320"/>
          </w:tcPr>
          <w:p>
            <w:r>
              <w:t>Alderwick Maritime Corporation</w:t>
            </w:r>
          </w:p>
        </w:tc>
      </w:tr>
      <w:tr>
        <w:tc>
          <w:tcPr>
            <w:tcW w:type="dxa" w:w="4320"/>
          </w:tcPr>
          <w:p>
            <w:r>
              <w:rPr>
                <w:b/>
              </w:rPr>
              <w:t>Client address</w:t>
            </w:r>
          </w:p>
        </w:tc>
        <w:tc>
          <w:tcPr>
            <w:tcW w:type="dxa" w:w="4320"/>
          </w:tcPr>
          <w:p>
            <w:r>
              <w:t>Beacon House, Aberdeen AB10 1YG</w:t>
            </w:r>
          </w:p>
        </w:tc>
      </w:tr>
      <w:tr>
        <w:tc>
          <w:tcPr>
            <w:tcW w:type="dxa" w:w="4320"/>
          </w:tcPr>
          <w:p>
            <w:r>
              <w:rPr>
                <w:b/>
              </w:rPr>
              <w:t>Engagement</w:t>
            </w:r>
          </w:p>
        </w:tc>
        <w:tc>
          <w:tcPr>
            <w:tcW w:type="dxa" w:w="4320"/>
          </w:tcPr>
          <w:p>
            <w:r>
              <w:t>Pricing Optimisation</w:t>
            </w:r>
          </w:p>
        </w:tc>
      </w:tr>
      <w:tr>
        <w:tc>
          <w:tcPr>
            <w:tcW w:type="dxa" w:w="4320"/>
          </w:tcPr>
          <w:p>
            <w:r>
              <w:rPr>
                <w:b/>
              </w:rPr>
              <w:t>Commencement date</w:t>
            </w:r>
          </w:p>
        </w:tc>
        <w:tc>
          <w:tcPr>
            <w:tcW w:type="dxa" w:w="4320"/>
          </w:tcPr>
          <w:p>
            <w:r>
              <w:t>21 November 2025</w:t>
            </w:r>
          </w:p>
        </w:tc>
      </w:tr>
      <w:tr>
        <w:tc>
          <w:tcPr>
            <w:tcW w:type="dxa" w:w="4320"/>
          </w:tcPr>
          <w:p>
            <w:r>
              <w:rPr>
                <w:b/>
              </w:rPr>
              <w:t>Completion date</w:t>
            </w:r>
          </w:p>
        </w:tc>
        <w:tc>
          <w:tcPr>
            <w:tcW w:type="dxa" w:w="4320"/>
          </w:tcPr>
          <w:p>
            <w:r>
              <w:t>03 January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2,040.00</w:t>
            </w:r>
          </w:p>
        </w:tc>
      </w:tr>
      <w:tr>
        <w:tc>
          <w:tcPr>
            <w:tcW w:type="dxa" w:w="4320"/>
          </w:tcPr>
          <w:p>
            <w:r>
              <w:rPr>
                <w:b/>
              </w:rPr>
              <w:t>Ceiling amount</w:t>
            </w:r>
          </w:p>
        </w:tc>
        <w:tc>
          <w:tcPr>
            <w:tcW w:type="dxa" w:w="4320"/>
          </w:tcPr>
          <w:p>
            <w:r>
              <w:t>GBP 577,830.00</w:t>
            </w:r>
          </w:p>
        </w:tc>
      </w:tr>
      <w:tr>
        <w:tc>
          <w:tcPr>
            <w:tcW w:type="dxa" w:w="4320"/>
          </w:tcPr>
          <w:p>
            <w:r>
              <w:rPr>
                <w:b/>
              </w:rPr>
              <w:t>Blended rate</w:t>
            </w:r>
          </w:p>
        </w:tc>
        <w:tc>
          <w:tcPr>
            <w:tcW w:type="dxa" w:w="4320"/>
          </w:tcPr>
          <w:p>
            <w:r>
              <w:t>GBP 283.25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Pricing Optimisation for Alderwick Maritime Corporation.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Current state assessment</w:t>
            </w:r>
          </w:p>
        </w:tc>
        <w:tc>
          <w:tcPr>
            <w:tcW w:type="dxa" w:w="2880"/>
          </w:tcPr>
          <w:p>
            <w:r>
              <w:t>510.00</w:t>
            </w:r>
          </w:p>
        </w:tc>
        <w:tc>
          <w:tcPr>
            <w:tcW w:type="dxa" w:w="2880"/>
          </w:tcPr>
          <w:p>
            <w:r>
              <w:t>144,457.50</w:t>
            </w:r>
          </w:p>
        </w:tc>
      </w:tr>
      <w:tr>
        <w:tc>
          <w:tcPr>
            <w:tcW w:type="dxa" w:w="2880"/>
          </w:tcPr>
          <w:p>
            <w:r>
              <w:t>Benefits case</w:t>
            </w:r>
          </w:p>
        </w:tc>
        <w:tc>
          <w:tcPr>
            <w:tcW w:type="dxa" w:w="2880"/>
          </w:tcPr>
          <w:p>
            <w:r>
              <w:t>510.00</w:t>
            </w:r>
          </w:p>
        </w:tc>
        <w:tc>
          <w:tcPr>
            <w:tcW w:type="dxa" w:w="2880"/>
          </w:tcPr>
          <w:p>
            <w:r>
              <w:t>144,457.50</w:t>
            </w:r>
          </w:p>
        </w:tc>
      </w:tr>
      <w:tr>
        <w:tc>
          <w:tcPr>
            <w:tcW w:type="dxa" w:w="2880"/>
          </w:tcPr>
          <w:p>
            <w:r>
              <w:t>Data migration plan</w:t>
            </w:r>
          </w:p>
        </w:tc>
        <w:tc>
          <w:tcPr>
            <w:tcW w:type="dxa" w:w="2880"/>
          </w:tcPr>
          <w:p>
            <w:r>
              <w:t>408.00</w:t>
            </w:r>
          </w:p>
        </w:tc>
        <w:tc>
          <w:tcPr>
            <w:tcW w:type="dxa" w:w="2880"/>
          </w:tcPr>
          <w:p>
            <w:r>
              <w:t>115,566.00</w:t>
            </w:r>
          </w:p>
        </w:tc>
      </w:tr>
      <w:tr>
        <w:tc>
          <w:tcPr>
            <w:tcW w:type="dxa" w:w="2880"/>
          </w:tcPr>
          <w:p>
            <w:r>
              <w:t>Vendor evaluation</w:t>
            </w:r>
          </w:p>
        </w:tc>
        <w:tc>
          <w:tcPr>
            <w:tcW w:type="dxa" w:w="2880"/>
          </w:tcPr>
          <w:p>
            <w:r>
              <w:t>612.00</w:t>
            </w:r>
          </w:p>
        </w:tc>
        <w:tc>
          <w:tcPr>
            <w:tcW w:type="dxa" w:w="2880"/>
          </w:tcPr>
          <w:p>
            <w:r>
              <w:t>173,349.00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Alderwick Maritime Corporation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