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SOW-2025-005</w:t>
            </w:r>
          </w:p>
        </w:tc>
      </w:tr>
      <w:tr>
        <w:tc>
          <w:tcPr>
            <w:tcW w:type="dxa" w:w="4320"/>
          </w:tcPr>
          <w:p>
            <w:r>
              <w:rPr>
                <w:b/>
              </w:rPr>
              <w:t>Client</w:t>
            </w:r>
          </w:p>
        </w:tc>
        <w:tc>
          <w:tcPr>
            <w:tcW w:type="dxa" w:w="4320"/>
          </w:tcPr>
          <w:p>
            <w:r>
              <w:t>Ashcombe Agricultural Group</w:t>
            </w:r>
          </w:p>
        </w:tc>
      </w:tr>
      <w:tr>
        <w:tc>
          <w:tcPr>
            <w:tcW w:type="dxa" w:w="4320"/>
          </w:tcPr>
          <w:p>
            <w:r>
              <w:rPr>
                <w:b/>
              </w:rPr>
              <w:t>Client address</w:t>
            </w:r>
          </w:p>
        </w:tc>
        <w:tc>
          <w:tcPr>
            <w:tcW w:type="dxa" w:w="4320"/>
          </w:tcPr>
          <w:p>
            <w:r>
              <w:t>The Exchange, Nottingham NG1 2DT</w:t>
            </w:r>
          </w:p>
        </w:tc>
      </w:tr>
      <w:tr>
        <w:tc>
          <w:tcPr>
            <w:tcW w:type="dxa" w:w="4320"/>
          </w:tcPr>
          <w:p>
            <w:r>
              <w:rPr>
                <w:b/>
              </w:rPr>
              <w:t>Engagement</w:t>
            </w:r>
          </w:p>
        </w:tc>
        <w:tc>
          <w:tcPr>
            <w:tcW w:type="dxa" w:w="4320"/>
          </w:tcPr>
          <w:p>
            <w:r>
              <w:t>Asset Register Programme</w:t>
            </w:r>
          </w:p>
        </w:tc>
      </w:tr>
      <w:tr>
        <w:tc>
          <w:tcPr>
            <w:tcW w:type="dxa" w:w="4320"/>
          </w:tcPr>
          <w:p>
            <w:r>
              <w:rPr>
                <w:b/>
              </w:rPr>
              <w:t>Commencement date</w:t>
            </w:r>
          </w:p>
        </w:tc>
        <w:tc>
          <w:tcPr>
            <w:tcW w:type="dxa" w:w="4320"/>
          </w:tcPr>
          <w:p>
            <w:r>
              <w:t>16 December 2025</w:t>
            </w:r>
          </w:p>
        </w:tc>
      </w:tr>
      <w:tr>
        <w:tc>
          <w:tcPr>
            <w:tcW w:type="dxa" w:w="4320"/>
          </w:tcPr>
          <w:p>
            <w:r>
              <w:rPr>
                <w:b/>
              </w:rPr>
              <w:t>Completion date</w:t>
            </w:r>
          </w:p>
        </w:tc>
        <w:tc>
          <w:tcPr>
            <w:tcW w:type="dxa" w:w="4320"/>
          </w:tcPr>
          <w:p>
            <w:r>
              <w:t>03 February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3,120.00</w:t>
            </w:r>
          </w:p>
        </w:tc>
      </w:tr>
      <w:tr>
        <w:tc>
          <w:tcPr>
            <w:tcW w:type="dxa" w:w="4320"/>
          </w:tcPr>
          <w:p>
            <w:r>
              <w:rPr>
                <w:b/>
              </w:rPr>
              <w:t>Ceiling amount</w:t>
            </w:r>
          </w:p>
        </w:tc>
        <w:tc>
          <w:tcPr>
            <w:tcW w:type="dxa" w:w="4320"/>
          </w:tcPr>
          <w:p>
            <w:r>
              <w:t>GBP 745,929.60</w:t>
            </w:r>
          </w:p>
        </w:tc>
      </w:tr>
      <w:tr>
        <w:tc>
          <w:tcPr>
            <w:tcW w:type="dxa" w:w="4320"/>
          </w:tcPr>
          <w:p>
            <w:r>
              <w:rPr>
                <w:b/>
              </w:rPr>
              <w:t>Blended rate</w:t>
            </w:r>
          </w:p>
        </w:tc>
        <w:tc>
          <w:tcPr>
            <w:tcW w:type="dxa" w:w="4320"/>
          </w:tcPr>
          <w:p>
            <w:r>
              <w:t>GBP 239.08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Asset Register Programme for Ashcombe Agricultural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Vendor evaluation</w:t>
            </w:r>
          </w:p>
        </w:tc>
        <w:tc>
          <w:tcPr>
            <w:tcW w:type="dxa" w:w="2880"/>
          </w:tcPr>
          <w:p>
            <w:r>
              <w:t>567.27</w:t>
            </w:r>
          </w:p>
        </w:tc>
        <w:tc>
          <w:tcPr>
            <w:tcW w:type="dxa" w:w="2880"/>
          </w:tcPr>
          <w:p>
            <w:r>
              <w:t>135,623.56</w:t>
            </w:r>
          </w:p>
        </w:tc>
      </w:tr>
      <w:tr>
        <w:tc>
          <w:tcPr>
            <w:tcW w:type="dxa" w:w="2880"/>
          </w:tcPr>
          <w:p>
            <w:r>
              <w:t>Go-live readiness review</w:t>
            </w:r>
          </w:p>
        </w:tc>
        <w:tc>
          <w:tcPr>
            <w:tcW w:type="dxa" w:w="2880"/>
          </w:tcPr>
          <w:p>
            <w:r>
              <w:t>1,134.55</w:t>
            </w:r>
          </w:p>
        </w:tc>
        <w:tc>
          <w:tcPr>
            <w:tcW w:type="dxa" w:w="2880"/>
          </w:tcPr>
          <w:p>
            <w:r>
              <w:t>271,247.13</w:t>
            </w:r>
          </w:p>
        </w:tc>
      </w:tr>
      <w:tr>
        <w:tc>
          <w:tcPr>
            <w:tcW w:type="dxa" w:w="2880"/>
          </w:tcPr>
          <w:p>
            <w:r>
              <w:t>Target operating model</w:t>
            </w:r>
          </w:p>
        </w:tc>
        <w:tc>
          <w:tcPr>
            <w:tcW w:type="dxa" w:w="2880"/>
          </w:tcPr>
          <w:p>
            <w:r>
              <w:t>1,418.18</w:t>
            </w:r>
          </w:p>
        </w:tc>
        <w:tc>
          <w:tcPr>
            <w:tcW w:type="dxa" w:w="2880"/>
          </w:tcPr>
          <w:p>
            <w:r>
              <w:t>339,058.91</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Ashcombe Agricultural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