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Hollingsworth Advisory Partners LLP</w:t>
      </w:r>
    </w:p>
    <w:p>
      <w:pPr>
        <w:jc w:val="center"/>
      </w:pPr>
      <w:r>
        <w:rPr>
          <w:b/>
          <w:sz w:val="24"/>
        </w:rPr>
        <w:t>STATEMENT OF WORK</w:t>
      </w:r>
    </w:p>
    <w:p/>
    <w:tbl>
      <w:tblPr>
        <w:tblStyle w:val="TableGrid"/>
        <w:tblW w:type="auto" w:w="0"/>
        <w:tblLook w:firstColumn="1" w:firstRow="1" w:lastColumn="0" w:lastRow="0" w:noHBand="0" w:noVBand="1" w:val="04A0"/>
      </w:tblPr>
      <w:tblGrid>
        <w:gridCol w:w="4320"/>
        <w:gridCol w:w="4320"/>
      </w:tblGrid>
      <w:tr>
        <w:tc>
          <w:tcPr>
            <w:tcW w:type="dxa" w:w="4320"/>
          </w:tcPr>
          <w:p>
            <w:r>
              <w:rPr>
                <w:b/>
              </w:rPr>
              <w:t>SOW reference</w:t>
            </w:r>
          </w:p>
        </w:tc>
        <w:tc>
          <w:tcPr>
            <w:tcW w:type="dxa" w:w="4320"/>
          </w:tcPr>
          <w:p>
            <w:r>
              <w:t>SOW-2025-029</w:t>
            </w:r>
          </w:p>
        </w:tc>
      </w:tr>
      <w:tr>
        <w:tc>
          <w:tcPr>
            <w:tcW w:type="dxa" w:w="4320"/>
          </w:tcPr>
          <w:p>
            <w:r>
              <w:rPr>
                <w:b/>
              </w:rPr>
              <w:t>Client</w:t>
            </w:r>
          </w:p>
        </w:tc>
        <w:tc>
          <w:tcPr>
            <w:tcW w:type="dxa" w:w="4320"/>
          </w:tcPr>
          <w:p>
            <w:r>
              <w:t>Dunmarch Municipal Group</w:t>
            </w:r>
          </w:p>
        </w:tc>
      </w:tr>
      <w:tr>
        <w:tc>
          <w:tcPr>
            <w:tcW w:type="dxa" w:w="4320"/>
          </w:tcPr>
          <w:p>
            <w:r>
              <w:rPr>
                <w:b/>
              </w:rPr>
              <w:t>Client address</w:t>
            </w:r>
          </w:p>
        </w:tc>
        <w:tc>
          <w:tcPr>
            <w:tcW w:type="dxa" w:w="4320"/>
          </w:tcPr>
          <w:p>
            <w:r>
              <w:t>Trinity Gate, Sheffield S1 2JB</w:t>
            </w:r>
          </w:p>
        </w:tc>
      </w:tr>
      <w:tr>
        <w:tc>
          <w:tcPr>
            <w:tcW w:type="dxa" w:w="4320"/>
          </w:tcPr>
          <w:p>
            <w:r>
              <w:rPr>
                <w:b/>
              </w:rPr>
              <w:t>Engagement</w:t>
            </w:r>
          </w:p>
        </w:tc>
        <w:tc>
          <w:tcPr>
            <w:tcW w:type="dxa" w:w="4320"/>
          </w:tcPr>
          <w:p>
            <w:r>
              <w:t>Regulatory Reporting Migration</w:t>
            </w:r>
          </w:p>
        </w:tc>
      </w:tr>
      <w:tr>
        <w:tc>
          <w:tcPr>
            <w:tcW w:type="dxa" w:w="4320"/>
          </w:tcPr>
          <w:p>
            <w:r>
              <w:rPr>
                <w:b/>
              </w:rPr>
              <w:t>Commencement date</w:t>
            </w:r>
          </w:p>
        </w:tc>
        <w:tc>
          <w:tcPr>
            <w:tcW w:type="dxa" w:w="4320"/>
          </w:tcPr>
          <w:p>
            <w:r>
              <w:t>31 October 2025</w:t>
            </w:r>
          </w:p>
        </w:tc>
      </w:tr>
      <w:tr>
        <w:tc>
          <w:tcPr>
            <w:tcW w:type="dxa" w:w="4320"/>
          </w:tcPr>
          <w:p>
            <w:r>
              <w:rPr>
                <w:b/>
              </w:rPr>
              <w:t>Completion date</w:t>
            </w:r>
          </w:p>
        </w:tc>
        <w:tc>
          <w:tcPr>
            <w:tcW w:type="dxa" w:w="4320"/>
          </w:tcPr>
          <w:p>
            <w:r>
              <w:t>01 June 2027</w:t>
            </w:r>
          </w:p>
        </w:tc>
      </w:tr>
      <w:tr>
        <w:tc>
          <w:tcPr>
            <w:tcW w:type="dxa" w:w="4320"/>
          </w:tcPr>
          <w:p>
            <w:r>
              <w:rPr>
                <w:b/>
              </w:rPr>
              <w:t>Fee basis</w:t>
            </w:r>
          </w:p>
        </w:tc>
        <w:tc>
          <w:tcPr>
            <w:tcW w:type="dxa" w:w="4320"/>
          </w:tcPr>
          <w:p>
            <w:r>
              <w:t>Time and materials</w:t>
            </w:r>
          </w:p>
        </w:tc>
      </w:tr>
      <w:tr>
        <w:tc>
          <w:tcPr>
            <w:tcW w:type="dxa" w:w="4320"/>
          </w:tcPr>
          <w:p>
            <w:r>
              <w:rPr>
                <w:b/>
              </w:rPr>
              <w:t>Ceiling hours</w:t>
            </w:r>
          </w:p>
        </w:tc>
        <w:tc>
          <w:tcPr>
            <w:tcW w:type="dxa" w:w="4320"/>
          </w:tcPr>
          <w:p>
            <w:r>
              <w:t>1,280.00</w:t>
            </w:r>
          </w:p>
        </w:tc>
      </w:tr>
      <w:tr>
        <w:tc>
          <w:tcPr>
            <w:tcW w:type="dxa" w:w="4320"/>
          </w:tcPr>
          <w:p>
            <w:r>
              <w:rPr>
                <w:b/>
              </w:rPr>
              <w:t>Ceiling amount</w:t>
            </w:r>
          </w:p>
        </w:tc>
        <w:tc>
          <w:tcPr>
            <w:tcW w:type="dxa" w:w="4320"/>
          </w:tcPr>
          <w:p>
            <w:r>
              <w:t>GBP 322,560.00</w:t>
            </w:r>
          </w:p>
        </w:tc>
      </w:tr>
      <w:tr>
        <w:tc>
          <w:tcPr>
            <w:tcW w:type="dxa" w:w="4320"/>
          </w:tcPr>
          <w:p>
            <w:r>
              <w:rPr>
                <w:b/>
              </w:rPr>
              <w:t>Blended rate</w:t>
            </w:r>
          </w:p>
        </w:tc>
        <w:tc>
          <w:tcPr>
            <w:tcW w:type="dxa" w:w="4320"/>
          </w:tcPr>
          <w:p>
            <w:r>
              <w:t>GBP 252.00 per hour</w:t>
            </w:r>
          </w:p>
        </w:tc>
      </w:tr>
      <w:tr>
        <w:tc>
          <w:tcPr>
            <w:tcW w:type="dxa" w:w="4320"/>
          </w:tcPr>
          <w:p>
            <w:r>
              <w:rPr>
                <w:b/>
              </w:rPr>
              <w:t>Payment terms</w:t>
            </w:r>
          </w:p>
        </w:tc>
        <w:tc>
          <w:tcPr>
            <w:tcW w:type="dxa" w:w="4320"/>
          </w:tcPr>
          <w:p>
            <w:r>
              <w:t>Net 30 days from date of issue</w:t>
            </w:r>
          </w:p>
        </w:tc>
      </w:tr>
    </w:tbl>
    <w:p/>
    <w:p>
      <w:r>
        <w:rPr>
          <w:b/>
        </w:rPr>
        <w:t>1.  Scope of work</w:t>
      </w:r>
    </w:p>
    <w:p>
      <w:r>
        <w:t>Hollingsworth Advisory Partners LLP shall provide the deliverables set out below in respect of Regulatory Reporting Migration for Dunmarch Municipal Group. Work shall not exceed the ceiling hours or the ceiling amount stated above without a written amendment executed by both parties.</w:t>
      </w:r>
    </w:p>
    <w:p/>
    <w:p>
      <w:r>
        <w:rPr>
          <w:b/>
        </w:rPr>
        <w:t>2.  Deliverables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Deliverable</w:t>
            </w:r>
          </w:p>
        </w:tc>
        <w:tc>
          <w:tcPr>
            <w:tcW w:type="dxa" w:w="2880"/>
          </w:tcPr>
          <w:p>
            <w:r>
              <w:rPr>
                <w:b/>
              </w:rPr>
              <w:t>Hours</w:t>
            </w:r>
          </w:p>
        </w:tc>
        <w:tc>
          <w:tcPr>
            <w:tcW w:type="dxa" w:w="2880"/>
          </w:tcPr>
          <w:p>
            <w:r>
              <w:rPr>
                <w:b/>
              </w:rPr>
              <w:t>Amount (GBP)</w:t>
            </w:r>
          </w:p>
        </w:tc>
      </w:tr>
      <w:tr>
        <w:tc>
          <w:tcPr>
            <w:tcW w:type="dxa" w:w="2880"/>
          </w:tcPr>
          <w:p>
            <w:r>
              <w:t>Training materials</w:t>
            </w:r>
          </w:p>
        </w:tc>
        <w:tc>
          <w:tcPr>
            <w:tcW w:type="dxa" w:w="2880"/>
          </w:tcPr>
          <w:p>
            <w:r>
              <w:t>426.67</w:t>
            </w:r>
          </w:p>
        </w:tc>
        <w:tc>
          <w:tcPr>
            <w:tcW w:type="dxa" w:w="2880"/>
          </w:tcPr>
          <w:p>
            <w:r>
              <w:t>107,520.00</w:t>
            </w:r>
          </w:p>
        </w:tc>
      </w:tr>
      <w:tr>
        <w:tc>
          <w:tcPr>
            <w:tcW w:type="dxa" w:w="2880"/>
          </w:tcPr>
          <w:p>
            <w:r>
              <w:t>Benefits case</w:t>
            </w:r>
          </w:p>
        </w:tc>
        <w:tc>
          <w:tcPr>
            <w:tcW w:type="dxa" w:w="2880"/>
          </w:tcPr>
          <w:p>
            <w:r>
              <w:t>142.22</w:t>
            </w:r>
          </w:p>
        </w:tc>
        <w:tc>
          <w:tcPr>
            <w:tcW w:type="dxa" w:w="2880"/>
          </w:tcPr>
          <w:p>
            <w:r>
              <w:t>35,840.00</w:t>
            </w:r>
          </w:p>
        </w:tc>
      </w:tr>
      <w:tr>
        <w:tc>
          <w:tcPr>
            <w:tcW w:type="dxa" w:w="2880"/>
          </w:tcPr>
          <w:p>
            <w:r>
              <w:t>Cutover rehearsal</w:t>
            </w:r>
          </w:p>
        </w:tc>
        <w:tc>
          <w:tcPr>
            <w:tcW w:type="dxa" w:w="2880"/>
          </w:tcPr>
          <w:p>
            <w:r>
              <w:t>426.67</w:t>
            </w:r>
          </w:p>
        </w:tc>
        <w:tc>
          <w:tcPr>
            <w:tcW w:type="dxa" w:w="2880"/>
          </w:tcPr>
          <w:p>
            <w:r>
              <w:t>107,520.00</w:t>
            </w:r>
          </w:p>
        </w:tc>
      </w:tr>
      <w:tr>
        <w:tc>
          <w:tcPr>
            <w:tcW w:type="dxa" w:w="2880"/>
          </w:tcPr>
          <w:p>
            <w:r>
              <w:t>Target operating model</w:t>
            </w:r>
          </w:p>
        </w:tc>
        <w:tc>
          <w:tcPr>
            <w:tcW w:type="dxa" w:w="2880"/>
          </w:tcPr>
          <w:p>
            <w:r>
              <w:t>284.44</w:t>
            </w:r>
          </w:p>
        </w:tc>
        <w:tc>
          <w:tcPr>
            <w:tcW w:type="dxa" w:w="2880"/>
          </w:tcPr>
          <w:p>
            <w:r>
              <w:t>71,680.00</w:t>
            </w:r>
          </w:p>
        </w:tc>
      </w:tr>
    </w:tbl>
    <w:p/>
    <w:p>
      <w:r>
        <w:rPr>
          <w:b/>
        </w:rPr>
        <w:t>3.  Invoicing</w:t>
      </w:r>
    </w:p>
    <w:p>
      <w:r>
        <w:t>Invoices shall be raised monthly in arrears and are payable net 30 days from date of issue. A retainer held on account shall be applied against each invoice until exhausted.</w:t>
      </w:r>
    </w:p>
    <w:p/>
    <w:p>
      <w:r>
        <w:t>Signed for and on behalf of the parties:</w:t>
      </w:r>
    </w:p>
    <w:p>
      <w:r>
        <w:t>Hollingsworth Advisory Partners LLP  ..................................    Date  ............</w:t>
      </w:r>
    </w:p>
    <w:p>
      <w:r>
        <w:t>Dunmarch Municipal Group  ..................................    Date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