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Hollingsworth Advisory Partners LLP</w:t>
      </w:r>
    </w:p>
    <w:p>
      <w:pPr>
        <w:jc w:val="center"/>
      </w:pPr>
      <w:r>
        <w:rPr>
          <w:b/>
          <w:sz w:val="24"/>
        </w:rPr>
        <w:t>STATEMENT OF WORK</w:t>
      </w:r>
    </w:p>
    <w:p/>
    <w:tbl>
      <w:tblPr>
        <w:tblStyle w:val="TableGrid"/>
        <w:tblW w:type="auto" w:w="0"/>
        <w:tblLook w:firstColumn="1" w:firstRow="1" w:lastColumn="0" w:lastRow="0" w:noHBand="0" w:noVBand="1" w:val="04A0"/>
      </w:tblPr>
      <w:tblGrid>
        <w:gridCol w:w="4320"/>
        <w:gridCol w:w="4320"/>
      </w:tblGrid>
      <w:tr>
        <w:tc>
          <w:tcPr>
            <w:tcW w:type="dxa" w:w="4320"/>
          </w:tcPr>
          <w:p>
            <w:r>
              <w:rPr>
                <w:b/>
              </w:rPr>
              <w:t>SOW reference</w:t>
            </w:r>
          </w:p>
        </w:tc>
        <w:tc>
          <w:tcPr>
            <w:tcW w:type="dxa" w:w="4320"/>
          </w:tcPr>
          <w:p>
            <w:r>
              <w:t>SOW-2026-011</w:t>
            </w:r>
          </w:p>
        </w:tc>
      </w:tr>
      <w:tr>
        <w:tc>
          <w:tcPr>
            <w:tcW w:type="dxa" w:w="4320"/>
          </w:tcPr>
          <w:p>
            <w:r>
              <w:rPr>
                <w:b/>
              </w:rPr>
              <w:t>Client</w:t>
            </w:r>
          </w:p>
        </w:tc>
        <w:tc>
          <w:tcPr>
            <w:tcW w:type="dxa" w:w="4320"/>
          </w:tcPr>
          <w:p>
            <w:r>
              <w:t>Fernhollow Utilities Holdings</w:t>
            </w:r>
          </w:p>
        </w:tc>
      </w:tr>
      <w:tr>
        <w:tc>
          <w:tcPr>
            <w:tcW w:type="dxa" w:w="4320"/>
          </w:tcPr>
          <w:p>
            <w:r>
              <w:rPr>
                <w:b/>
              </w:rPr>
              <w:t>Client address</w:t>
            </w:r>
          </w:p>
        </w:tc>
        <w:tc>
          <w:tcPr>
            <w:tcW w:type="dxa" w:w="4320"/>
          </w:tcPr>
          <w:p>
            <w:r>
              <w:t>Harbour Court, Southampton SO14 3TJ</w:t>
            </w:r>
          </w:p>
        </w:tc>
      </w:tr>
      <w:tr>
        <w:tc>
          <w:tcPr>
            <w:tcW w:type="dxa" w:w="4320"/>
          </w:tcPr>
          <w:p>
            <w:r>
              <w:rPr>
                <w:b/>
              </w:rPr>
              <w:t>Engagement</w:t>
            </w:r>
          </w:p>
        </w:tc>
        <w:tc>
          <w:tcPr>
            <w:tcW w:type="dxa" w:w="4320"/>
          </w:tcPr>
          <w:p>
            <w:r>
              <w:t>Revenue Assurance Integration</w:t>
            </w:r>
          </w:p>
        </w:tc>
      </w:tr>
      <w:tr>
        <w:tc>
          <w:tcPr>
            <w:tcW w:type="dxa" w:w="4320"/>
          </w:tcPr>
          <w:p>
            <w:r>
              <w:rPr>
                <w:b/>
              </w:rPr>
              <w:t>Commencement date</w:t>
            </w:r>
          </w:p>
        </w:tc>
        <w:tc>
          <w:tcPr>
            <w:tcW w:type="dxa" w:w="4320"/>
          </w:tcPr>
          <w:p>
            <w:r>
              <w:t>11 February 2026</w:t>
            </w:r>
          </w:p>
        </w:tc>
      </w:tr>
      <w:tr>
        <w:tc>
          <w:tcPr>
            <w:tcW w:type="dxa" w:w="4320"/>
          </w:tcPr>
          <w:p>
            <w:r>
              <w:rPr>
                <w:b/>
              </w:rPr>
              <w:t>Completion date</w:t>
            </w:r>
          </w:p>
        </w:tc>
        <w:tc>
          <w:tcPr>
            <w:tcW w:type="dxa" w:w="4320"/>
          </w:tcPr>
          <w:p>
            <w:r>
              <w:t>03 April 2027</w:t>
            </w:r>
          </w:p>
        </w:tc>
      </w:tr>
      <w:tr>
        <w:tc>
          <w:tcPr>
            <w:tcW w:type="dxa" w:w="4320"/>
          </w:tcPr>
          <w:p>
            <w:r>
              <w:rPr>
                <w:b/>
              </w:rPr>
              <w:t>Fee basis</w:t>
            </w:r>
          </w:p>
        </w:tc>
        <w:tc>
          <w:tcPr>
            <w:tcW w:type="dxa" w:w="4320"/>
          </w:tcPr>
          <w:p>
            <w:r>
              <w:t>Fixed fee</w:t>
            </w:r>
          </w:p>
        </w:tc>
      </w:tr>
      <w:tr>
        <w:tc>
          <w:tcPr>
            <w:tcW w:type="dxa" w:w="4320"/>
          </w:tcPr>
          <w:p>
            <w:r>
              <w:rPr>
                <w:b/>
              </w:rPr>
              <w:t>Ceiling hours</w:t>
            </w:r>
          </w:p>
        </w:tc>
        <w:tc>
          <w:tcPr>
            <w:tcW w:type="dxa" w:w="4320"/>
          </w:tcPr>
          <w:p>
            <w:r>
              <w:t>660.00</w:t>
            </w:r>
          </w:p>
        </w:tc>
      </w:tr>
      <w:tr>
        <w:tc>
          <w:tcPr>
            <w:tcW w:type="dxa" w:w="4320"/>
          </w:tcPr>
          <w:p>
            <w:r>
              <w:rPr>
                <w:b/>
              </w:rPr>
              <w:t>Ceiling amount</w:t>
            </w:r>
          </w:p>
        </w:tc>
        <w:tc>
          <w:tcPr>
            <w:tcW w:type="dxa" w:w="4320"/>
          </w:tcPr>
          <w:p>
            <w:r>
              <w:t>GBP 187,308.00</w:t>
            </w:r>
          </w:p>
        </w:tc>
      </w:tr>
      <w:tr>
        <w:tc>
          <w:tcPr>
            <w:tcW w:type="dxa" w:w="4320"/>
          </w:tcPr>
          <w:p>
            <w:r>
              <w:rPr>
                <w:b/>
              </w:rPr>
              <w:t>Blended rate</w:t>
            </w:r>
          </w:p>
        </w:tc>
        <w:tc>
          <w:tcPr>
            <w:tcW w:type="dxa" w:w="4320"/>
          </w:tcPr>
          <w:p>
            <w:r>
              <w:t>GBP 283.80 per hour</w:t>
            </w:r>
          </w:p>
        </w:tc>
      </w:tr>
      <w:tr>
        <w:tc>
          <w:tcPr>
            <w:tcW w:type="dxa" w:w="4320"/>
          </w:tcPr>
          <w:p>
            <w:r>
              <w:rPr>
                <w:b/>
              </w:rPr>
              <w:t>Payment terms</w:t>
            </w:r>
          </w:p>
        </w:tc>
        <w:tc>
          <w:tcPr>
            <w:tcW w:type="dxa" w:w="4320"/>
          </w:tcPr>
          <w:p>
            <w:r>
              <w:t>Net 30 days from date of issue</w:t>
            </w:r>
          </w:p>
        </w:tc>
      </w:tr>
    </w:tbl>
    <w:p/>
    <w:p>
      <w:r>
        <w:rPr>
          <w:b/>
        </w:rPr>
        <w:t>1.  Scope of work</w:t>
      </w:r>
    </w:p>
    <w:p>
      <w:r>
        <w:t>Hollingsworth Advisory Partners LLP shall provide the deliverables set out below in respect of Revenue Assurance Integration for Fernhollow Utilities Holdings. Work shall not exceed the ceiling hours or the ceiling amount stated above without a written amendment executed by both parties.</w:t>
      </w:r>
    </w:p>
    <w:p/>
    <w:p>
      <w:r>
        <w:rPr>
          <w:b/>
        </w:rPr>
        <w:t>2.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Hours</w:t>
            </w:r>
          </w:p>
        </w:tc>
        <w:tc>
          <w:tcPr>
            <w:tcW w:type="dxa" w:w="2880"/>
          </w:tcPr>
          <w:p>
            <w:r>
              <w:rPr>
                <w:b/>
              </w:rPr>
              <w:t>Amount (GBP)</w:t>
            </w:r>
          </w:p>
        </w:tc>
      </w:tr>
      <w:tr>
        <w:tc>
          <w:tcPr>
            <w:tcW w:type="dxa" w:w="2880"/>
          </w:tcPr>
          <w:p>
            <w:r>
              <w:t>Solution design</w:t>
            </w:r>
          </w:p>
        </w:tc>
        <w:tc>
          <w:tcPr>
            <w:tcW w:type="dxa" w:w="2880"/>
          </w:tcPr>
          <w:p>
            <w:r>
              <w:t>176.00</w:t>
            </w:r>
          </w:p>
        </w:tc>
        <w:tc>
          <w:tcPr>
            <w:tcW w:type="dxa" w:w="2880"/>
          </w:tcPr>
          <w:p>
            <w:r>
              <w:t>49,948.80</w:t>
            </w:r>
          </w:p>
        </w:tc>
      </w:tr>
      <w:tr>
        <w:tc>
          <w:tcPr>
            <w:tcW w:type="dxa" w:w="2880"/>
          </w:tcPr>
          <w:p>
            <w:r>
              <w:t>Go-live readiness review</w:t>
            </w:r>
          </w:p>
        </w:tc>
        <w:tc>
          <w:tcPr>
            <w:tcW w:type="dxa" w:w="2880"/>
          </w:tcPr>
          <w:p>
            <w:r>
              <w:t>132.00</w:t>
            </w:r>
          </w:p>
        </w:tc>
        <w:tc>
          <w:tcPr>
            <w:tcW w:type="dxa" w:w="2880"/>
          </w:tcPr>
          <w:p>
            <w:r>
              <w:t>37,461.60</w:t>
            </w:r>
          </w:p>
        </w:tc>
      </w:tr>
      <w:tr>
        <w:tc>
          <w:tcPr>
            <w:tcW w:type="dxa" w:w="2880"/>
          </w:tcPr>
          <w:p>
            <w:r>
              <w:t>Test strategy</w:t>
            </w:r>
          </w:p>
        </w:tc>
        <w:tc>
          <w:tcPr>
            <w:tcW w:type="dxa" w:w="2880"/>
          </w:tcPr>
          <w:p>
            <w:r>
              <w:t>220.00</w:t>
            </w:r>
          </w:p>
        </w:tc>
        <w:tc>
          <w:tcPr>
            <w:tcW w:type="dxa" w:w="2880"/>
          </w:tcPr>
          <w:p>
            <w:r>
              <w:t>62,436.00</w:t>
            </w:r>
          </w:p>
        </w:tc>
      </w:tr>
      <w:tr>
        <w:tc>
          <w:tcPr>
            <w:tcW w:type="dxa" w:w="2880"/>
          </w:tcPr>
          <w:p>
            <w:r>
              <w:t>Benefits case</w:t>
            </w:r>
          </w:p>
        </w:tc>
        <w:tc>
          <w:tcPr>
            <w:tcW w:type="dxa" w:w="2880"/>
          </w:tcPr>
          <w:p>
            <w:r>
              <w:t>132.00</w:t>
            </w:r>
          </w:p>
        </w:tc>
        <w:tc>
          <w:tcPr>
            <w:tcW w:type="dxa" w:w="2880"/>
          </w:tcPr>
          <w:p>
            <w:r>
              <w:t>37,461.60</w:t>
            </w:r>
          </w:p>
        </w:tc>
      </w:tr>
    </w:tbl>
    <w:p/>
    <w:p>
      <w:r>
        <w:rPr>
          <w:b/>
        </w:rPr>
        <w:t>3.  Invoicing</w:t>
      </w:r>
    </w:p>
    <w:p>
      <w:r>
        <w:t>Invoices shall be raised monthly in arrears and are payable net 30 days from date of issue. A retainer held on account shall be applied against each invoice until exhausted.</w:t>
      </w:r>
    </w:p>
    <w:p/>
    <w:p>
      <w:r>
        <w:t>Signed for and on behalf of the parties:</w:t>
      </w:r>
    </w:p>
    <w:p>
      <w:r>
        <w:t>Hollingsworth Advisory Partners LLP  ..................................    Date  ............</w:t>
      </w:r>
    </w:p>
    <w:p>
      <w:r>
        <w:t>Fernhollow Utilities Holdings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