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Hollingsworth Advisory Partners LLP</w:t>
      </w:r>
    </w:p>
    <w:p>
      <w:pPr>
        <w:jc w:val="center"/>
      </w:pPr>
      <w:r>
        <w:rPr>
          <w:b/>
          <w:sz w:val="24"/>
        </w:rPr>
        <w:t>STATEMENT OF WORK</w:t>
      </w:r>
    </w:p>
    <w:p/>
    <w:tbl>
      <w:tblPr>
        <w:tblStyle w:val="TableGrid"/>
        <w:tblW w:type="auto" w:w="0"/>
        <w:tblLook w:firstColumn="1" w:firstRow="1" w:lastColumn="0" w:lastRow="0" w:noHBand="0" w:noVBand="1" w:val="04A0"/>
      </w:tblPr>
      <w:tblGrid>
        <w:gridCol w:w="4320"/>
        <w:gridCol w:w="4320"/>
      </w:tblGrid>
      <w:tr>
        <w:tc>
          <w:tcPr>
            <w:tcW w:type="dxa" w:w="4320"/>
          </w:tcPr>
          <w:p>
            <w:r>
              <w:rPr>
                <w:b/>
              </w:rPr>
              <w:t>SOW reference</w:t>
            </w:r>
          </w:p>
        </w:tc>
        <w:tc>
          <w:tcPr>
            <w:tcW w:type="dxa" w:w="4320"/>
          </w:tcPr>
          <w:p>
            <w:r>
              <w:t>SOW-2025-022</w:t>
            </w:r>
          </w:p>
        </w:tc>
      </w:tr>
      <w:tr>
        <w:tc>
          <w:tcPr>
            <w:tcW w:type="dxa" w:w="4320"/>
          </w:tcPr>
          <w:p>
            <w:r>
              <w:rPr>
                <w:b/>
              </w:rPr>
              <w:t>Client</w:t>
            </w:r>
          </w:p>
        </w:tc>
        <w:tc>
          <w:tcPr>
            <w:tcW w:type="dxa" w:w="4320"/>
          </w:tcPr>
          <w:p>
            <w:r>
              <w:t>Kesterly Logistics Group</w:t>
            </w:r>
          </w:p>
        </w:tc>
      </w:tr>
      <w:tr>
        <w:tc>
          <w:tcPr>
            <w:tcW w:type="dxa" w:w="4320"/>
          </w:tcPr>
          <w:p>
            <w:r>
              <w:rPr>
                <w:b/>
              </w:rPr>
              <w:t>Client address</w:t>
            </w:r>
          </w:p>
        </w:tc>
        <w:tc>
          <w:tcPr>
            <w:tcW w:type="dxa" w:w="4320"/>
          </w:tcPr>
          <w:p>
            <w:r>
              <w:t>1 Quay Street, Manchester M3 3JE</w:t>
            </w:r>
          </w:p>
        </w:tc>
      </w:tr>
      <w:tr>
        <w:tc>
          <w:tcPr>
            <w:tcW w:type="dxa" w:w="4320"/>
          </w:tcPr>
          <w:p>
            <w:r>
              <w:rPr>
                <w:b/>
              </w:rPr>
              <w:t>Engagement</w:t>
            </w:r>
          </w:p>
        </w:tc>
        <w:tc>
          <w:tcPr>
            <w:tcW w:type="dxa" w:w="4320"/>
          </w:tcPr>
          <w:p>
            <w:r>
              <w:t>Payments Optimisation</w:t>
            </w:r>
          </w:p>
        </w:tc>
      </w:tr>
      <w:tr>
        <w:tc>
          <w:tcPr>
            <w:tcW w:type="dxa" w:w="4320"/>
          </w:tcPr>
          <w:p>
            <w:r>
              <w:rPr>
                <w:b/>
              </w:rPr>
              <w:t>Commencement date</w:t>
            </w:r>
          </w:p>
        </w:tc>
        <w:tc>
          <w:tcPr>
            <w:tcW w:type="dxa" w:w="4320"/>
          </w:tcPr>
          <w:p>
            <w:r>
              <w:t>02 November 2025</w:t>
            </w:r>
          </w:p>
        </w:tc>
      </w:tr>
      <w:tr>
        <w:tc>
          <w:tcPr>
            <w:tcW w:type="dxa" w:w="4320"/>
          </w:tcPr>
          <w:p>
            <w:r>
              <w:rPr>
                <w:b/>
              </w:rPr>
              <w:t>Completion date</w:t>
            </w:r>
          </w:p>
        </w:tc>
        <w:tc>
          <w:tcPr>
            <w:tcW w:type="dxa" w:w="4320"/>
          </w:tcPr>
          <w:p>
            <w:r>
              <w:t>25 December 2026</w:t>
            </w:r>
          </w:p>
        </w:tc>
      </w:tr>
      <w:tr>
        <w:tc>
          <w:tcPr>
            <w:tcW w:type="dxa" w:w="4320"/>
          </w:tcPr>
          <w:p>
            <w:r>
              <w:rPr>
                <w:b/>
              </w:rPr>
              <w:t>Fee basis</w:t>
            </w:r>
          </w:p>
        </w:tc>
        <w:tc>
          <w:tcPr>
            <w:tcW w:type="dxa" w:w="4320"/>
          </w:tcPr>
          <w:p>
            <w:r>
              <w:t>Time and materials</w:t>
            </w:r>
          </w:p>
        </w:tc>
      </w:tr>
      <w:tr>
        <w:tc>
          <w:tcPr>
            <w:tcW w:type="dxa" w:w="4320"/>
          </w:tcPr>
          <w:p>
            <w:r>
              <w:rPr>
                <w:b/>
              </w:rPr>
              <w:t>Ceiling hours</w:t>
            </w:r>
          </w:p>
        </w:tc>
        <w:tc>
          <w:tcPr>
            <w:tcW w:type="dxa" w:w="4320"/>
          </w:tcPr>
          <w:p>
            <w:r>
              <w:t>2,660.00</w:t>
            </w:r>
          </w:p>
        </w:tc>
      </w:tr>
      <w:tr>
        <w:tc>
          <w:tcPr>
            <w:tcW w:type="dxa" w:w="4320"/>
          </w:tcPr>
          <w:p>
            <w:r>
              <w:rPr>
                <w:b/>
              </w:rPr>
              <w:t>Ceiling amount</w:t>
            </w:r>
          </w:p>
        </w:tc>
        <w:tc>
          <w:tcPr>
            <w:tcW w:type="dxa" w:w="4320"/>
          </w:tcPr>
          <w:p>
            <w:r>
              <w:t>GBP 835,240.00</w:t>
            </w:r>
          </w:p>
        </w:tc>
      </w:tr>
      <w:tr>
        <w:tc>
          <w:tcPr>
            <w:tcW w:type="dxa" w:w="4320"/>
          </w:tcPr>
          <w:p>
            <w:r>
              <w:rPr>
                <w:b/>
              </w:rPr>
              <w:t>Blended rate</w:t>
            </w:r>
          </w:p>
        </w:tc>
        <w:tc>
          <w:tcPr>
            <w:tcW w:type="dxa" w:w="4320"/>
          </w:tcPr>
          <w:p>
            <w:r>
              <w:t>GBP 314.00 per hour</w:t>
            </w:r>
          </w:p>
        </w:tc>
      </w:tr>
      <w:tr>
        <w:tc>
          <w:tcPr>
            <w:tcW w:type="dxa" w:w="4320"/>
          </w:tcPr>
          <w:p>
            <w:r>
              <w:rPr>
                <w:b/>
              </w:rPr>
              <w:t>Payment terms</w:t>
            </w:r>
          </w:p>
        </w:tc>
        <w:tc>
          <w:tcPr>
            <w:tcW w:type="dxa" w:w="4320"/>
          </w:tcPr>
          <w:p>
            <w:r>
              <w:t>Net 30 days from date of issue</w:t>
            </w:r>
          </w:p>
        </w:tc>
      </w:tr>
    </w:tbl>
    <w:p/>
    <w:p>
      <w:r>
        <w:rPr>
          <w:b/>
        </w:rPr>
        <w:t>1.  Scope of work</w:t>
      </w:r>
    </w:p>
    <w:p>
      <w:r>
        <w:t>Hollingsworth Advisory Partners LLP shall provide the deliverables set out below in respect of Payments Optimisation for Kesterly Logistics Group. Work shall not exceed the ceiling hours or the ceiling amount stated above without a written amendment executed by both parties.</w:t>
      </w:r>
    </w:p>
    <w:p/>
    <w:p>
      <w:r>
        <w:rPr>
          <w:b/>
        </w:rPr>
        <w:t>2.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Hours</w:t>
            </w:r>
          </w:p>
        </w:tc>
        <w:tc>
          <w:tcPr>
            <w:tcW w:type="dxa" w:w="2880"/>
          </w:tcPr>
          <w:p>
            <w:r>
              <w:rPr>
                <w:b/>
              </w:rPr>
              <w:t>Amount (GBP)</w:t>
            </w:r>
          </w:p>
        </w:tc>
      </w:tr>
      <w:tr>
        <w:tc>
          <w:tcPr>
            <w:tcW w:type="dxa" w:w="2880"/>
          </w:tcPr>
          <w:p>
            <w:r>
              <w:t>Hypercare support</w:t>
            </w:r>
          </w:p>
        </w:tc>
        <w:tc>
          <w:tcPr>
            <w:tcW w:type="dxa" w:w="2880"/>
          </w:tcPr>
          <w:p>
            <w:r>
              <w:t>798.00</w:t>
            </w:r>
          </w:p>
        </w:tc>
        <w:tc>
          <w:tcPr>
            <w:tcW w:type="dxa" w:w="2880"/>
          </w:tcPr>
          <w:p>
            <w:r>
              <w:t>250,572.00</w:t>
            </w:r>
          </w:p>
        </w:tc>
      </w:tr>
      <w:tr>
        <w:tc>
          <w:tcPr>
            <w:tcW w:type="dxa" w:w="2880"/>
          </w:tcPr>
          <w:p>
            <w:r>
              <w:t>Current state assessment</w:t>
            </w:r>
          </w:p>
        </w:tc>
        <w:tc>
          <w:tcPr>
            <w:tcW w:type="dxa" w:w="2880"/>
          </w:tcPr>
          <w:p>
            <w:r>
              <w:t>798.00</w:t>
            </w:r>
          </w:p>
        </w:tc>
        <w:tc>
          <w:tcPr>
            <w:tcW w:type="dxa" w:w="2880"/>
          </w:tcPr>
          <w:p>
            <w:r>
              <w:t>250,572.00</w:t>
            </w:r>
          </w:p>
        </w:tc>
      </w:tr>
      <w:tr>
        <w:tc>
          <w:tcPr>
            <w:tcW w:type="dxa" w:w="2880"/>
          </w:tcPr>
          <w:p>
            <w:r>
              <w:t>Vendor evaluation</w:t>
            </w:r>
          </w:p>
        </w:tc>
        <w:tc>
          <w:tcPr>
            <w:tcW w:type="dxa" w:w="2880"/>
          </w:tcPr>
          <w:p>
            <w:r>
              <w:t>266.00</w:t>
            </w:r>
          </w:p>
        </w:tc>
        <w:tc>
          <w:tcPr>
            <w:tcW w:type="dxa" w:w="2880"/>
          </w:tcPr>
          <w:p>
            <w:r>
              <w:t>83,524.00</w:t>
            </w:r>
          </w:p>
        </w:tc>
      </w:tr>
      <w:tr>
        <w:tc>
          <w:tcPr>
            <w:tcW w:type="dxa" w:w="2880"/>
          </w:tcPr>
          <w:p>
            <w:r>
              <w:t>Data migration plan</w:t>
            </w:r>
          </w:p>
        </w:tc>
        <w:tc>
          <w:tcPr>
            <w:tcW w:type="dxa" w:w="2880"/>
          </w:tcPr>
          <w:p>
            <w:r>
              <w:t>798.00</w:t>
            </w:r>
          </w:p>
        </w:tc>
        <w:tc>
          <w:tcPr>
            <w:tcW w:type="dxa" w:w="2880"/>
          </w:tcPr>
          <w:p>
            <w:r>
              <w:t>250,572.00</w:t>
            </w:r>
          </w:p>
        </w:tc>
      </w:tr>
    </w:tbl>
    <w:p/>
    <w:p>
      <w:r>
        <w:rPr>
          <w:b/>
        </w:rPr>
        <w:t>3.  Invoicing</w:t>
      </w:r>
    </w:p>
    <w:p>
      <w:r>
        <w:t>Invoices shall be raised monthly in arrears and are payable net 30 days from date of issue. A retainer held on account shall be applied against each invoice until exhausted.</w:t>
      </w:r>
    </w:p>
    <w:p/>
    <w:p>
      <w:r>
        <w:t>Signed for and on behalf of the parties:</w:t>
      </w:r>
    </w:p>
    <w:p>
      <w:r>
        <w:t>Hollingsworth Advisory Partners LLP  ..................................    Date  ............</w:t>
      </w:r>
    </w:p>
    <w:p>
      <w:r>
        <w:t>Kesterly Logistics Group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