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Hollingsworth Advisory Partners LLP</w:t>
      </w:r>
    </w:p>
    <w:p>
      <w:pPr>
        <w:jc w:val="center"/>
      </w:pPr>
      <w:r>
        <w:rPr>
          <w:b/>
          <w:sz w:val="24"/>
        </w:rPr>
        <w:t>STATEMENT OF WORK</w:t>
      </w:r>
    </w:p>
    <w:p/>
    <w:tbl>
      <w:tblPr>
        <w:tblStyle w:val="TableGrid"/>
        <w:tblW w:type="auto" w:w="0"/>
        <w:tblLook w:firstColumn="1" w:firstRow="1" w:lastColumn="0" w:lastRow="0" w:noHBand="0" w:noVBand="1" w:val="04A0"/>
      </w:tblPr>
      <w:tblGrid>
        <w:gridCol w:w="4320"/>
        <w:gridCol w:w="4320"/>
      </w:tblGrid>
      <w:tr>
        <w:tc>
          <w:tcPr>
            <w:tcW w:type="dxa" w:w="4320"/>
          </w:tcPr>
          <w:p>
            <w:r>
              <w:rPr>
                <w:b/>
              </w:rPr>
              <w:t>SOW reference</w:t>
            </w:r>
          </w:p>
        </w:tc>
        <w:tc>
          <w:tcPr>
            <w:tcW w:type="dxa" w:w="4320"/>
          </w:tcPr>
          <w:p>
            <w:r>
              <w:t>SOW-2025-028</w:t>
            </w:r>
          </w:p>
        </w:tc>
      </w:tr>
      <w:tr>
        <w:tc>
          <w:tcPr>
            <w:tcW w:type="dxa" w:w="4320"/>
          </w:tcPr>
          <w:p>
            <w:r>
              <w:rPr>
                <w:b/>
              </w:rPr>
              <w:t>Client</w:t>
            </w:r>
          </w:p>
        </w:tc>
        <w:tc>
          <w:tcPr>
            <w:tcW w:type="dxa" w:w="4320"/>
          </w:tcPr>
          <w:p>
            <w:r>
              <w:t>Kesterly Logistics Group</w:t>
            </w:r>
          </w:p>
        </w:tc>
      </w:tr>
      <w:tr>
        <w:tc>
          <w:tcPr>
            <w:tcW w:type="dxa" w:w="4320"/>
          </w:tcPr>
          <w:p>
            <w:r>
              <w:rPr>
                <w:b/>
              </w:rPr>
              <w:t>Client address</w:t>
            </w:r>
          </w:p>
        </w:tc>
        <w:tc>
          <w:tcPr>
            <w:tcW w:type="dxa" w:w="4320"/>
          </w:tcPr>
          <w:p>
            <w:r>
              <w:t>1 Quay Street, Manchester M3 3JE</w:t>
            </w:r>
          </w:p>
        </w:tc>
      </w:tr>
      <w:tr>
        <w:tc>
          <w:tcPr>
            <w:tcW w:type="dxa" w:w="4320"/>
          </w:tcPr>
          <w:p>
            <w:r>
              <w:rPr>
                <w:b/>
              </w:rPr>
              <w:t>Engagement</w:t>
            </w:r>
          </w:p>
        </w:tc>
        <w:tc>
          <w:tcPr>
            <w:tcW w:type="dxa" w:w="4320"/>
          </w:tcPr>
          <w:p>
            <w:r>
              <w:t>Payments Modernisation</w:t>
            </w:r>
          </w:p>
        </w:tc>
      </w:tr>
      <w:tr>
        <w:tc>
          <w:tcPr>
            <w:tcW w:type="dxa" w:w="4320"/>
          </w:tcPr>
          <w:p>
            <w:r>
              <w:rPr>
                <w:b/>
              </w:rPr>
              <w:t>Commencement date</w:t>
            </w:r>
          </w:p>
        </w:tc>
        <w:tc>
          <w:tcPr>
            <w:tcW w:type="dxa" w:w="4320"/>
          </w:tcPr>
          <w:p>
            <w:r>
              <w:t>01 September 2025</w:t>
            </w:r>
          </w:p>
        </w:tc>
      </w:tr>
      <w:tr>
        <w:tc>
          <w:tcPr>
            <w:tcW w:type="dxa" w:w="4320"/>
          </w:tcPr>
          <w:p>
            <w:r>
              <w:rPr>
                <w:b/>
              </w:rPr>
              <w:t>Completion date</w:t>
            </w:r>
          </w:p>
        </w:tc>
        <w:tc>
          <w:tcPr>
            <w:tcW w:type="dxa" w:w="4320"/>
          </w:tcPr>
          <w:p>
            <w:r>
              <w:t>10 March 2027</w:t>
            </w:r>
          </w:p>
        </w:tc>
      </w:tr>
      <w:tr>
        <w:tc>
          <w:tcPr>
            <w:tcW w:type="dxa" w:w="4320"/>
          </w:tcPr>
          <w:p>
            <w:r>
              <w:rPr>
                <w:b/>
              </w:rPr>
              <w:t>Fee basis</w:t>
            </w:r>
          </w:p>
        </w:tc>
        <w:tc>
          <w:tcPr>
            <w:tcW w:type="dxa" w:w="4320"/>
          </w:tcPr>
          <w:p>
            <w:r>
              <w:t>Time and materials</w:t>
            </w:r>
          </w:p>
        </w:tc>
      </w:tr>
      <w:tr>
        <w:tc>
          <w:tcPr>
            <w:tcW w:type="dxa" w:w="4320"/>
          </w:tcPr>
          <w:p>
            <w:r>
              <w:rPr>
                <w:b/>
              </w:rPr>
              <w:t>Ceiling hours</w:t>
            </w:r>
          </w:p>
        </w:tc>
        <w:tc>
          <w:tcPr>
            <w:tcW w:type="dxa" w:w="4320"/>
          </w:tcPr>
          <w:p>
            <w:r>
              <w:t>3,280.00</w:t>
            </w:r>
          </w:p>
        </w:tc>
      </w:tr>
      <w:tr>
        <w:tc>
          <w:tcPr>
            <w:tcW w:type="dxa" w:w="4320"/>
          </w:tcPr>
          <w:p>
            <w:r>
              <w:rPr>
                <w:b/>
              </w:rPr>
              <w:t>Ceiling amount</w:t>
            </w:r>
          </w:p>
        </w:tc>
        <w:tc>
          <w:tcPr>
            <w:tcW w:type="dxa" w:w="4320"/>
          </w:tcPr>
          <w:p>
            <w:r>
              <w:t>GBP 820,000.00</w:t>
            </w:r>
          </w:p>
        </w:tc>
      </w:tr>
      <w:tr>
        <w:tc>
          <w:tcPr>
            <w:tcW w:type="dxa" w:w="4320"/>
          </w:tcPr>
          <w:p>
            <w:r>
              <w:rPr>
                <w:b/>
              </w:rPr>
              <w:t>Blended rate</w:t>
            </w:r>
          </w:p>
        </w:tc>
        <w:tc>
          <w:tcPr>
            <w:tcW w:type="dxa" w:w="4320"/>
          </w:tcPr>
          <w:p>
            <w:r>
              <w:t>GBP 250.00 per hour</w:t>
            </w:r>
          </w:p>
        </w:tc>
      </w:tr>
      <w:tr>
        <w:tc>
          <w:tcPr>
            <w:tcW w:type="dxa" w:w="4320"/>
          </w:tcPr>
          <w:p>
            <w:r>
              <w:rPr>
                <w:b/>
              </w:rPr>
              <w:t>Payment terms</w:t>
            </w:r>
          </w:p>
        </w:tc>
        <w:tc>
          <w:tcPr>
            <w:tcW w:type="dxa" w:w="4320"/>
          </w:tcPr>
          <w:p>
            <w:r>
              <w:t>Net 30 days from date of issue</w:t>
            </w:r>
          </w:p>
        </w:tc>
      </w:tr>
    </w:tbl>
    <w:p/>
    <w:p>
      <w:r>
        <w:rPr>
          <w:b/>
        </w:rPr>
        <w:t>1.  Scope of work</w:t>
      </w:r>
    </w:p>
    <w:p>
      <w:r>
        <w:t>Hollingsworth Advisory Partners LLP shall provide the deliverables set out below in respect of Payments Modernisation for Kesterly Logistics Group. Work shall not exceed the ceiling hours or the ceiling amount stated above without a written amendment executed by both parties.</w:t>
      </w:r>
    </w:p>
    <w:p/>
    <w:p>
      <w:r>
        <w:rPr>
          <w:b/>
        </w:rPr>
        <w:t>2.  Deliverables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Deliverable</w:t>
            </w:r>
          </w:p>
        </w:tc>
        <w:tc>
          <w:tcPr>
            <w:tcW w:type="dxa" w:w="2880"/>
          </w:tcPr>
          <w:p>
            <w:r>
              <w:rPr>
                <w:b/>
              </w:rPr>
              <w:t>Hours</w:t>
            </w:r>
          </w:p>
        </w:tc>
        <w:tc>
          <w:tcPr>
            <w:tcW w:type="dxa" w:w="2880"/>
          </w:tcPr>
          <w:p>
            <w:r>
              <w:rPr>
                <w:b/>
              </w:rPr>
              <w:t>Amount (GBP)</w:t>
            </w:r>
          </w:p>
        </w:tc>
      </w:tr>
      <w:tr>
        <w:tc>
          <w:tcPr>
            <w:tcW w:type="dxa" w:w="2880"/>
          </w:tcPr>
          <w:p>
            <w:r>
              <w:t>Benefits case</w:t>
            </w:r>
          </w:p>
        </w:tc>
        <w:tc>
          <w:tcPr>
            <w:tcW w:type="dxa" w:w="2880"/>
          </w:tcPr>
          <w:p>
            <w:r>
              <w:t>1,312.00</w:t>
            </w:r>
          </w:p>
        </w:tc>
        <w:tc>
          <w:tcPr>
            <w:tcW w:type="dxa" w:w="2880"/>
          </w:tcPr>
          <w:p>
            <w:r>
              <w:t>328,000.00</w:t>
            </w:r>
          </w:p>
        </w:tc>
      </w:tr>
      <w:tr>
        <w:tc>
          <w:tcPr>
            <w:tcW w:type="dxa" w:w="2880"/>
          </w:tcPr>
          <w:p>
            <w:r>
              <w:t>Target operating model</w:t>
            </w:r>
          </w:p>
        </w:tc>
        <w:tc>
          <w:tcPr>
            <w:tcW w:type="dxa" w:w="2880"/>
          </w:tcPr>
          <w:p>
            <w:r>
              <w:t>1,093.33</w:t>
            </w:r>
          </w:p>
        </w:tc>
        <w:tc>
          <w:tcPr>
            <w:tcW w:type="dxa" w:w="2880"/>
          </w:tcPr>
          <w:p>
            <w:r>
              <w:t>273,333.33</w:t>
            </w:r>
          </w:p>
        </w:tc>
      </w:tr>
      <w:tr>
        <w:tc>
          <w:tcPr>
            <w:tcW w:type="dxa" w:w="2880"/>
          </w:tcPr>
          <w:p>
            <w:r>
              <w:t>Go-live readiness review</w:t>
            </w:r>
          </w:p>
        </w:tc>
        <w:tc>
          <w:tcPr>
            <w:tcW w:type="dxa" w:w="2880"/>
          </w:tcPr>
          <w:p>
            <w:r>
              <w:t>874.67</w:t>
            </w:r>
          </w:p>
        </w:tc>
        <w:tc>
          <w:tcPr>
            <w:tcW w:type="dxa" w:w="2880"/>
          </w:tcPr>
          <w:p>
            <w:r>
              <w:t>218,666.67</w:t>
            </w:r>
          </w:p>
        </w:tc>
      </w:tr>
    </w:tbl>
    <w:p/>
    <w:p>
      <w:r>
        <w:rPr>
          <w:b/>
        </w:rPr>
        <w:t>3.  Invoicing</w:t>
      </w:r>
    </w:p>
    <w:p>
      <w:r>
        <w:t>Invoices shall be raised monthly in arrears and are payable net 30 days from date of issue. A retainer held on account shall be applied against each invoice until exhausted.</w:t>
      </w:r>
    </w:p>
    <w:p/>
    <w:p>
      <w:r>
        <w:t>Signed for and on behalf of the parties:</w:t>
      </w:r>
    </w:p>
    <w:p>
      <w:r>
        <w:t>Hollingsworth Advisory Partners LLP  ..................................    Date  ............</w:t>
      </w:r>
    </w:p>
    <w:p>
      <w:r>
        <w:t>Kesterly Logistics Group  ..................................    Date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