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A5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SOW-2025-022-A5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SOW-2025-022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Kesterly Logistics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Payments Optimisation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25 January 2026</w:t>
            </w:r>
          </w:p>
        </w:tc>
      </w:tr>
    </w:tbl>
    <w:p/>
    <w:p>
      <w:r>
        <w:t>This amendment varies statement of work SOW-2025-022 with effect from 25 January 2026.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2,660.00</w:t>
            </w:r>
          </w:p>
        </w:tc>
        <w:tc>
          <w:tcPr>
            <w:tcW w:type="dxa" w:w="2880"/>
          </w:tcPr>
          <w:p>
            <w:r>
              <w:t>3,404.80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835,240.00</w:t>
            </w:r>
          </w:p>
        </w:tc>
        <w:tc>
          <w:tcPr>
            <w:tcW w:type="dxa" w:w="2880"/>
          </w:tcPr>
          <w:p>
            <w:r>
              <w:t>1,069,107.20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25 December 2026</w:t>
            </w:r>
          </w:p>
        </w:tc>
        <w:tc>
          <w:tcPr>
            <w:tcW w:type="dxa" w:w="2880"/>
          </w:tcPr>
          <w:p>
            <w:r>
              <w:t>03 March 2027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