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Hollingsworth Advisory Partners LLP</w:t>
      </w:r>
    </w:p>
    <w:p>
      <w:pPr>
        <w:jc w:val="center"/>
      </w:pPr>
      <w:r>
        <w:rPr>
          <w:b/>
          <w:sz w:val="24"/>
        </w:rPr>
        <w:t>AMENDMENT A6 TO STATEMENT OF WORK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Amendment reference</w:t>
            </w:r>
          </w:p>
        </w:tc>
        <w:tc>
          <w:tcPr>
            <w:tcW w:type="dxa" w:w="4320"/>
          </w:tcPr>
          <w:p>
            <w:r>
              <w:t>SOW-2025-028-A6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Amends SOW</w:t>
            </w:r>
          </w:p>
        </w:tc>
        <w:tc>
          <w:tcPr>
            <w:tcW w:type="dxa" w:w="4320"/>
          </w:tcPr>
          <w:p>
            <w:r>
              <w:t>SOW-2025-028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Kesterly Logistics Group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</w:tcPr>
          <w:p>
            <w:r>
              <w:t>Payments Modernisation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16 January 2026</w:t>
            </w:r>
          </w:p>
        </w:tc>
      </w:tr>
    </w:tbl>
    <w:p/>
    <w:p>
      <w:r>
        <w:t>This amendment varies statement of work SOW-2025-028 with effect from 16 January 2026. All other terms of the original statement of work remain in full force. Where this amendment and the original conflict, this amendment prevails.</w:t>
      </w:r>
    </w:p>
    <w:p/>
    <w:p>
      <w:r>
        <w:rPr>
          <w:b/>
        </w:rPr>
        <w:t>1.  Revised ceiling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Revised</w:t>
            </w:r>
          </w:p>
        </w:tc>
      </w:tr>
      <w:tr>
        <w:tc>
          <w:tcPr>
            <w:tcW w:type="dxa" w:w="2880"/>
          </w:tcPr>
          <w:p>
            <w:r>
              <w:t>Ceiling hours</w:t>
            </w:r>
          </w:p>
        </w:tc>
        <w:tc>
          <w:tcPr>
            <w:tcW w:type="dxa" w:w="2880"/>
          </w:tcPr>
          <w:p>
            <w:r>
              <w:t>3,280.00</w:t>
            </w:r>
          </w:p>
        </w:tc>
        <w:tc>
          <w:tcPr>
            <w:tcW w:type="dxa" w:w="2880"/>
          </w:tcPr>
          <w:p>
            <w:r>
              <w:t>4,198.40</w:t>
            </w:r>
          </w:p>
        </w:tc>
      </w:tr>
      <w:tr>
        <w:tc>
          <w:tcPr>
            <w:tcW w:type="dxa" w:w="2880"/>
          </w:tcPr>
          <w:p>
            <w:r>
              <w:t>Ceiling amount (GBP)</w:t>
            </w:r>
          </w:p>
        </w:tc>
        <w:tc>
          <w:tcPr>
            <w:tcW w:type="dxa" w:w="2880"/>
          </w:tcPr>
          <w:p>
            <w:r>
              <w:t>820,000.00</w:t>
            </w:r>
          </w:p>
        </w:tc>
        <w:tc>
          <w:tcPr>
            <w:tcW w:type="dxa" w:w="2880"/>
          </w:tcPr>
          <w:p>
            <w:r>
              <w:t>1,049,600.00</w:t>
            </w:r>
          </w:p>
        </w:tc>
      </w:tr>
      <w:tr>
        <w:tc>
          <w:tcPr>
            <w:tcW w:type="dxa" w:w="2880"/>
          </w:tcPr>
          <w:p>
            <w:r>
              <w:t>Completion date</w:t>
            </w:r>
          </w:p>
        </w:tc>
        <w:tc>
          <w:tcPr>
            <w:tcW w:type="dxa" w:w="2880"/>
          </w:tcPr>
          <w:p>
            <w:r>
              <w:t>10 March 2027</w:t>
            </w:r>
          </w:p>
        </w:tc>
        <w:tc>
          <w:tcPr>
            <w:tcW w:type="dxa" w:w="2880"/>
          </w:tcPr>
          <w:p>
            <w:r>
              <w:t>10 April 2027</w:t>
            </w:r>
          </w:p>
        </w:tc>
      </w:tr>
    </w:tbl>
    <w:p/>
    <w:p>
      <w:r>
        <w:t>Signed for and on behalf of the parties:</w:t>
      </w:r>
    </w:p>
    <w:p>
      <w:r>
        <w:t>Hollingsworth Advisory Partners LLP  ..................................    Date  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