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Hollingsworth Advisory Partners LLP</w:t>
      </w:r>
    </w:p>
    <w:p>
      <w:pPr>
        <w:jc w:val="center"/>
      </w:pPr>
      <w:r>
        <w:rPr>
          <w:b/>
          <w:sz w:val="24"/>
        </w:rPr>
        <w:t>STATEMENT OF WORK</w:t>
      </w:r>
    </w:p>
    <w:p/>
    <w:tbl>
      <w:tblPr>
        <w:tblStyle w:val="TableGrid"/>
        <w:tblW w:type="auto" w:w="0"/>
        <w:tblLook w:firstColumn="1" w:firstRow="1" w:lastColumn="0" w:lastRow="0" w:noHBand="0" w:noVBand="1" w:val="04A0"/>
      </w:tblPr>
      <w:tblGrid>
        <w:gridCol w:w="4320"/>
        <w:gridCol w:w="4320"/>
      </w:tblGrid>
      <w:tr>
        <w:tc>
          <w:tcPr>
            <w:tcW w:type="dxa" w:w="4320"/>
          </w:tcPr>
          <w:p>
            <w:r>
              <w:rPr>
                <w:b/>
              </w:rPr>
              <w:t>SOW reference</w:t>
            </w:r>
          </w:p>
        </w:tc>
        <w:tc>
          <w:tcPr>
            <w:tcW w:type="dxa" w:w="4320"/>
          </w:tcPr>
          <w:p>
            <w:r>
              <w:t>SOW-2025-020</w:t>
            </w:r>
          </w:p>
        </w:tc>
      </w:tr>
      <w:tr>
        <w:tc>
          <w:tcPr>
            <w:tcW w:type="dxa" w:w="4320"/>
          </w:tcPr>
          <w:p>
            <w:r>
              <w:rPr>
                <w:b/>
              </w:rPr>
              <w:t>Client</w:t>
            </w:r>
          </w:p>
        </w:tc>
        <w:tc>
          <w:tcPr>
            <w:tcW w:type="dxa" w:w="4320"/>
          </w:tcPr>
          <w:p>
            <w:r>
              <w:t>Merrivale Maritime Group</w:t>
            </w:r>
          </w:p>
        </w:tc>
      </w:tr>
      <w:tr>
        <w:tc>
          <w:tcPr>
            <w:tcW w:type="dxa" w:w="4320"/>
          </w:tcPr>
          <w:p>
            <w:r>
              <w:rPr>
                <w:b/>
              </w:rPr>
              <w:t>Client address</w:t>
            </w:r>
          </w:p>
        </w:tc>
        <w:tc>
          <w:tcPr>
            <w:tcW w:type="dxa" w:w="4320"/>
          </w:tcPr>
          <w:p>
            <w:r>
              <w:t>Marlowe Point, Norwich NR1 1AA</w:t>
            </w:r>
          </w:p>
        </w:tc>
      </w:tr>
      <w:tr>
        <w:tc>
          <w:tcPr>
            <w:tcW w:type="dxa" w:w="4320"/>
          </w:tcPr>
          <w:p>
            <w:r>
              <w:rPr>
                <w:b/>
              </w:rPr>
              <w:t>Engagement</w:t>
            </w:r>
          </w:p>
        </w:tc>
        <w:tc>
          <w:tcPr>
            <w:tcW w:type="dxa" w:w="4320"/>
          </w:tcPr>
          <w:p>
            <w:r>
              <w:t>Claims Assessment</w:t>
            </w:r>
          </w:p>
        </w:tc>
      </w:tr>
      <w:tr>
        <w:tc>
          <w:tcPr>
            <w:tcW w:type="dxa" w:w="4320"/>
          </w:tcPr>
          <w:p>
            <w:r>
              <w:rPr>
                <w:b/>
              </w:rPr>
              <w:t>Commencement date</w:t>
            </w:r>
          </w:p>
        </w:tc>
        <w:tc>
          <w:tcPr>
            <w:tcW w:type="dxa" w:w="4320"/>
          </w:tcPr>
          <w:p>
            <w:r>
              <w:t>18 December 2025</w:t>
            </w:r>
          </w:p>
        </w:tc>
      </w:tr>
      <w:tr>
        <w:tc>
          <w:tcPr>
            <w:tcW w:type="dxa" w:w="4320"/>
          </w:tcPr>
          <w:p>
            <w:r>
              <w:rPr>
                <w:b/>
              </w:rPr>
              <w:t>Completion date</w:t>
            </w:r>
          </w:p>
        </w:tc>
        <w:tc>
          <w:tcPr>
            <w:tcW w:type="dxa" w:w="4320"/>
          </w:tcPr>
          <w:p>
            <w:r>
              <w:t>05 January 2027</w:t>
            </w:r>
          </w:p>
        </w:tc>
      </w:tr>
      <w:tr>
        <w:tc>
          <w:tcPr>
            <w:tcW w:type="dxa" w:w="4320"/>
          </w:tcPr>
          <w:p>
            <w:r>
              <w:rPr>
                <w:b/>
              </w:rPr>
              <w:t>Fee basis</w:t>
            </w:r>
          </w:p>
        </w:tc>
        <w:tc>
          <w:tcPr>
            <w:tcW w:type="dxa" w:w="4320"/>
          </w:tcPr>
          <w:p>
            <w:r>
              <w:t>Time and materials</w:t>
            </w:r>
          </w:p>
        </w:tc>
      </w:tr>
      <w:tr>
        <w:tc>
          <w:tcPr>
            <w:tcW w:type="dxa" w:w="4320"/>
          </w:tcPr>
          <w:p>
            <w:r>
              <w:rPr>
                <w:b/>
              </w:rPr>
              <w:t>Ceiling hours</w:t>
            </w:r>
          </w:p>
        </w:tc>
        <w:tc>
          <w:tcPr>
            <w:tcW w:type="dxa" w:w="4320"/>
          </w:tcPr>
          <w:p>
            <w:r>
              <w:t>2,120.00</w:t>
            </w:r>
          </w:p>
        </w:tc>
      </w:tr>
      <w:tr>
        <w:tc>
          <w:tcPr>
            <w:tcW w:type="dxa" w:w="4320"/>
          </w:tcPr>
          <w:p>
            <w:r>
              <w:rPr>
                <w:b/>
              </w:rPr>
              <w:t>Ceiling amount</w:t>
            </w:r>
          </w:p>
        </w:tc>
        <w:tc>
          <w:tcPr>
            <w:tcW w:type="dxa" w:w="4320"/>
          </w:tcPr>
          <w:p>
            <w:r>
              <w:t>GBP 672,040.00</w:t>
            </w:r>
          </w:p>
        </w:tc>
      </w:tr>
      <w:tr>
        <w:tc>
          <w:tcPr>
            <w:tcW w:type="dxa" w:w="4320"/>
          </w:tcPr>
          <w:p>
            <w:r>
              <w:rPr>
                <w:b/>
              </w:rPr>
              <w:t>Blended rate</w:t>
            </w:r>
          </w:p>
        </w:tc>
        <w:tc>
          <w:tcPr>
            <w:tcW w:type="dxa" w:w="4320"/>
          </w:tcPr>
          <w:p>
            <w:r>
              <w:t>GBP 317.00 per hour</w:t>
            </w:r>
          </w:p>
        </w:tc>
      </w:tr>
      <w:tr>
        <w:tc>
          <w:tcPr>
            <w:tcW w:type="dxa" w:w="4320"/>
          </w:tcPr>
          <w:p>
            <w:r>
              <w:rPr>
                <w:b/>
              </w:rPr>
              <w:t>Payment terms</w:t>
            </w:r>
          </w:p>
        </w:tc>
        <w:tc>
          <w:tcPr>
            <w:tcW w:type="dxa" w:w="4320"/>
          </w:tcPr>
          <w:p>
            <w:r>
              <w:t>Net 30 days from date of issue</w:t>
            </w:r>
          </w:p>
        </w:tc>
      </w:tr>
    </w:tbl>
    <w:p/>
    <w:p>
      <w:r>
        <w:rPr>
          <w:b/>
        </w:rPr>
        <w:t>1.  Scope of work</w:t>
      </w:r>
    </w:p>
    <w:p>
      <w:r>
        <w:t>Hollingsworth Advisory Partners LLP shall provide the deliverables set out below in respect of Claims Assessment for Merrivale Maritime Group. Work shall not exceed the ceiling hours or the ceiling amount stated above without a written amendment executed by both parties.</w:t>
      </w:r>
    </w:p>
    <w:p/>
    <w:p>
      <w:r>
        <w:rPr>
          <w:b/>
        </w:rPr>
        <w:t>2.  Deliverables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Deliverable</w:t>
            </w:r>
          </w:p>
        </w:tc>
        <w:tc>
          <w:tcPr>
            <w:tcW w:type="dxa" w:w="2880"/>
          </w:tcPr>
          <w:p>
            <w:r>
              <w:rPr>
                <w:b/>
              </w:rPr>
              <w:t>Hours</w:t>
            </w:r>
          </w:p>
        </w:tc>
        <w:tc>
          <w:tcPr>
            <w:tcW w:type="dxa" w:w="2880"/>
          </w:tcPr>
          <w:p>
            <w:r>
              <w:rPr>
                <w:b/>
              </w:rPr>
              <w:t>Amount (GBP)</w:t>
            </w:r>
          </w:p>
        </w:tc>
      </w:tr>
      <w:tr>
        <w:tc>
          <w:tcPr>
            <w:tcW w:type="dxa" w:w="2880"/>
          </w:tcPr>
          <w:p>
            <w:r>
              <w:t>Go-live readiness review</w:t>
            </w:r>
          </w:p>
        </w:tc>
        <w:tc>
          <w:tcPr>
            <w:tcW w:type="dxa" w:w="2880"/>
          </w:tcPr>
          <w:p>
            <w:r>
              <w:t>403.81</w:t>
            </w:r>
          </w:p>
        </w:tc>
        <w:tc>
          <w:tcPr>
            <w:tcW w:type="dxa" w:w="2880"/>
          </w:tcPr>
          <w:p>
            <w:r>
              <w:t>128,007.62</w:t>
            </w:r>
          </w:p>
        </w:tc>
      </w:tr>
      <w:tr>
        <w:tc>
          <w:tcPr>
            <w:tcW w:type="dxa" w:w="2880"/>
          </w:tcPr>
          <w:p>
            <w:r>
              <w:t>Integration build</w:t>
            </w:r>
          </w:p>
        </w:tc>
        <w:tc>
          <w:tcPr>
            <w:tcW w:type="dxa" w:w="2880"/>
          </w:tcPr>
          <w:p>
            <w:r>
              <w:t>201.90</w:t>
            </w:r>
          </w:p>
        </w:tc>
        <w:tc>
          <w:tcPr>
            <w:tcW w:type="dxa" w:w="2880"/>
          </w:tcPr>
          <w:p>
            <w:r>
              <w:t>64,003.81</w:t>
            </w:r>
          </w:p>
        </w:tc>
      </w:tr>
      <w:tr>
        <w:tc>
          <w:tcPr>
            <w:tcW w:type="dxa" w:w="2880"/>
          </w:tcPr>
          <w:p>
            <w:r>
              <w:t>Training materials</w:t>
            </w:r>
          </w:p>
        </w:tc>
        <w:tc>
          <w:tcPr>
            <w:tcW w:type="dxa" w:w="2880"/>
          </w:tcPr>
          <w:p>
            <w:r>
              <w:t>403.81</w:t>
            </w:r>
          </w:p>
        </w:tc>
        <w:tc>
          <w:tcPr>
            <w:tcW w:type="dxa" w:w="2880"/>
          </w:tcPr>
          <w:p>
            <w:r>
              <w:t>128,007.62</w:t>
            </w:r>
          </w:p>
        </w:tc>
      </w:tr>
      <w:tr>
        <w:tc>
          <w:tcPr>
            <w:tcW w:type="dxa" w:w="2880"/>
          </w:tcPr>
          <w:p>
            <w:r>
              <w:t>Data migration plan</w:t>
            </w:r>
          </w:p>
        </w:tc>
        <w:tc>
          <w:tcPr>
            <w:tcW w:type="dxa" w:w="2880"/>
          </w:tcPr>
          <w:p>
            <w:r>
              <w:t>605.71</w:t>
            </w:r>
          </w:p>
        </w:tc>
        <w:tc>
          <w:tcPr>
            <w:tcW w:type="dxa" w:w="2880"/>
          </w:tcPr>
          <w:p>
            <w:r>
              <w:t>192,011.43</w:t>
            </w:r>
          </w:p>
        </w:tc>
      </w:tr>
      <w:tr>
        <w:tc>
          <w:tcPr>
            <w:tcW w:type="dxa" w:w="2880"/>
          </w:tcPr>
          <w:p>
            <w:r>
              <w:t>Test strategy</w:t>
            </w:r>
          </w:p>
        </w:tc>
        <w:tc>
          <w:tcPr>
            <w:tcW w:type="dxa" w:w="2880"/>
          </w:tcPr>
          <w:p>
            <w:r>
              <w:t>504.77</w:t>
            </w:r>
          </w:p>
        </w:tc>
        <w:tc>
          <w:tcPr>
            <w:tcW w:type="dxa" w:w="2880"/>
          </w:tcPr>
          <w:p>
            <w:r>
              <w:t>160,009.52</w:t>
            </w:r>
          </w:p>
        </w:tc>
      </w:tr>
    </w:tbl>
    <w:p/>
    <w:p>
      <w:r>
        <w:rPr>
          <w:b/>
        </w:rPr>
        <w:t>3.  Invoicing</w:t>
      </w:r>
    </w:p>
    <w:p>
      <w:r>
        <w:t>Invoices shall be raised monthly in arrears and are payable net 30 days from date of issue. A retainer held on account shall be applied against each invoice until exhausted.</w:t>
      </w:r>
    </w:p>
    <w:p/>
    <w:p>
      <w:r>
        <w:t>Signed for and on behalf of the parties:</w:t>
      </w:r>
    </w:p>
    <w:p>
      <w:r>
        <w:t>Hollingsworth Advisory Partners LLP  ..................................    Date  ............</w:t>
      </w:r>
    </w:p>
    <w:p>
      <w:r>
        <w:t>Merrivale Maritime Group  ..................................    Date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