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SOW-2025-027</w:t>
            </w:r>
          </w:p>
        </w:tc>
      </w:tr>
      <w:tr>
        <w:tc>
          <w:tcPr>
            <w:tcW w:type="dxa" w:w="4320"/>
          </w:tcPr>
          <w:p>
            <w:r>
              <w:rPr>
                <w:b/>
              </w:rPr>
              <w:t>Client</w:t>
            </w:r>
          </w:p>
        </w:tc>
        <w:tc>
          <w:tcPr>
            <w:tcW w:type="dxa" w:w="4320"/>
          </w:tcPr>
          <w:p>
            <w:r>
              <w:t>Merrivale Maritime Group</w:t>
            </w:r>
          </w:p>
        </w:tc>
      </w:tr>
      <w:tr>
        <w:tc>
          <w:tcPr>
            <w:tcW w:type="dxa" w:w="4320"/>
          </w:tcPr>
          <w:p>
            <w:r>
              <w:rPr>
                <w:b/>
              </w:rPr>
              <w:t>Client address</w:t>
            </w:r>
          </w:p>
        </w:tc>
        <w:tc>
          <w:tcPr>
            <w:tcW w:type="dxa" w:w="4320"/>
          </w:tcPr>
          <w:p>
            <w:r>
              <w:t>Marlowe Point, Norwich NR1 1AA</w:t>
            </w:r>
          </w:p>
        </w:tc>
      </w:tr>
      <w:tr>
        <w:tc>
          <w:tcPr>
            <w:tcW w:type="dxa" w:w="4320"/>
          </w:tcPr>
          <w:p>
            <w:r>
              <w:rPr>
                <w:b/>
              </w:rPr>
              <w:t>Engagement</w:t>
            </w:r>
          </w:p>
        </w:tc>
        <w:tc>
          <w:tcPr>
            <w:tcW w:type="dxa" w:w="4320"/>
          </w:tcPr>
          <w:p>
            <w:r>
              <w:t>Supply Chain Optimisation</w:t>
            </w:r>
          </w:p>
        </w:tc>
      </w:tr>
      <w:tr>
        <w:tc>
          <w:tcPr>
            <w:tcW w:type="dxa" w:w="4320"/>
          </w:tcPr>
          <w:p>
            <w:r>
              <w:rPr>
                <w:b/>
              </w:rPr>
              <w:t>Commencement date</w:t>
            </w:r>
          </w:p>
        </w:tc>
        <w:tc>
          <w:tcPr>
            <w:tcW w:type="dxa" w:w="4320"/>
          </w:tcPr>
          <w:p>
            <w:r>
              <w:t>08 November 2025</w:t>
            </w:r>
          </w:p>
        </w:tc>
      </w:tr>
      <w:tr>
        <w:tc>
          <w:tcPr>
            <w:tcW w:type="dxa" w:w="4320"/>
          </w:tcPr>
          <w:p>
            <w:r>
              <w:rPr>
                <w:b/>
              </w:rPr>
              <w:t>Completion date</w:t>
            </w:r>
          </w:p>
        </w:tc>
        <w:tc>
          <w:tcPr>
            <w:tcW w:type="dxa" w:w="4320"/>
          </w:tcPr>
          <w:p>
            <w:r>
              <w:t>12 February 2027</w:t>
            </w:r>
          </w:p>
        </w:tc>
      </w:tr>
      <w:tr>
        <w:tc>
          <w:tcPr>
            <w:tcW w:type="dxa" w:w="4320"/>
          </w:tcPr>
          <w:p>
            <w:r>
              <w:rPr>
                <w:b/>
              </w:rPr>
              <w:t>Fee basis</w:t>
            </w:r>
          </w:p>
        </w:tc>
        <w:tc>
          <w:tcPr>
            <w:tcW w:type="dxa" w:w="4320"/>
          </w:tcPr>
          <w:p>
            <w:r>
              <w:t>Time and materials</w:t>
            </w:r>
          </w:p>
        </w:tc>
      </w:tr>
      <w:tr>
        <w:tc>
          <w:tcPr>
            <w:tcW w:type="dxa" w:w="4320"/>
          </w:tcPr>
          <w:p>
            <w:r>
              <w:rPr>
                <w:b/>
              </w:rPr>
              <w:t>Ceiling hours</w:t>
            </w:r>
          </w:p>
        </w:tc>
        <w:tc>
          <w:tcPr>
            <w:tcW w:type="dxa" w:w="4320"/>
          </w:tcPr>
          <w:p>
            <w:r>
              <w:t>1,800.00</w:t>
            </w:r>
          </w:p>
        </w:tc>
      </w:tr>
      <w:tr>
        <w:tc>
          <w:tcPr>
            <w:tcW w:type="dxa" w:w="4320"/>
          </w:tcPr>
          <w:p>
            <w:r>
              <w:rPr>
                <w:b/>
              </w:rPr>
              <w:t>Ceiling amount</w:t>
            </w:r>
          </w:p>
        </w:tc>
        <w:tc>
          <w:tcPr>
            <w:tcW w:type="dxa" w:w="4320"/>
          </w:tcPr>
          <w:p>
            <w:r>
              <w:t>GBP 518,400.00</w:t>
            </w:r>
          </w:p>
        </w:tc>
      </w:tr>
      <w:tr>
        <w:tc>
          <w:tcPr>
            <w:tcW w:type="dxa" w:w="4320"/>
          </w:tcPr>
          <w:p>
            <w:r>
              <w:rPr>
                <w:b/>
              </w:rPr>
              <w:t>Blended rate</w:t>
            </w:r>
          </w:p>
        </w:tc>
        <w:tc>
          <w:tcPr>
            <w:tcW w:type="dxa" w:w="4320"/>
          </w:tcPr>
          <w:p>
            <w:r>
              <w:t>GBP 288.00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Supply Chain Optimisation for Merrivale Maritime Group.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Test strategy</w:t>
            </w:r>
          </w:p>
        </w:tc>
        <w:tc>
          <w:tcPr>
            <w:tcW w:type="dxa" w:w="2880"/>
          </w:tcPr>
          <w:p>
            <w:r>
              <w:t>385.71</w:t>
            </w:r>
          </w:p>
        </w:tc>
        <w:tc>
          <w:tcPr>
            <w:tcW w:type="dxa" w:w="2880"/>
          </w:tcPr>
          <w:p>
            <w:r>
              <w:t>111,085.71</w:t>
            </w:r>
          </w:p>
        </w:tc>
      </w:tr>
      <w:tr>
        <w:tc>
          <w:tcPr>
            <w:tcW w:type="dxa" w:w="2880"/>
          </w:tcPr>
          <w:p>
            <w:r>
              <w:t>Data migration plan</w:t>
            </w:r>
          </w:p>
        </w:tc>
        <w:tc>
          <w:tcPr>
            <w:tcW w:type="dxa" w:w="2880"/>
          </w:tcPr>
          <w:p>
            <w:r>
              <w:t>642.86</w:t>
            </w:r>
          </w:p>
        </w:tc>
        <w:tc>
          <w:tcPr>
            <w:tcW w:type="dxa" w:w="2880"/>
          </w:tcPr>
          <w:p>
            <w:r>
              <w:t>185,142.86</w:t>
            </w:r>
          </w:p>
        </w:tc>
      </w:tr>
      <w:tr>
        <w:tc>
          <w:tcPr>
            <w:tcW w:type="dxa" w:w="2880"/>
          </w:tcPr>
          <w:p>
            <w:r>
              <w:t>Cutover rehearsal</w:t>
            </w:r>
          </w:p>
        </w:tc>
        <w:tc>
          <w:tcPr>
            <w:tcW w:type="dxa" w:w="2880"/>
          </w:tcPr>
          <w:p>
            <w:r>
              <w:t>514.29</w:t>
            </w:r>
          </w:p>
        </w:tc>
        <w:tc>
          <w:tcPr>
            <w:tcW w:type="dxa" w:w="2880"/>
          </w:tcPr>
          <w:p>
            <w:r>
              <w:t>148,114.29</w:t>
            </w:r>
          </w:p>
        </w:tc>
      </w:tr>
      <w:tr>
        <w:tc>
          <w:tcPr>
            <w:tcW w:type="dxa" w:w="2880"/>
          </w:tcPr>
          <w:p>
            <w:r>
              <w:t>Solution design</w:t>
            </w:r>
          </w:p>
        </w:tc>
        <w:tc>
          <w:tcPr>
            <w:tcW w:type="dxa" w:w="2880"/>
          </w:tcPr>
          <w:p>
            <w:r>
              <w:t>257.14</w:t>
            </w:r>
          </w:p>
        </w:tc>
        <w:tc>
          <w:tcPr>
            <w:tcW w:type="dxa" w:w="2880"/>
          </w:tcPr>
          <w:p>
            <w:r>
              <w:t>74,057.14</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Merrivale Maritime Group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