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SOW-2025-019</w:t>
            </w:r>
          </w:p>
        </w:tc>
      </w:tr>
      <w:tr>
        <w:tc>
          <w:tcPr>
            <w:tcW w:type="dxa" w:w="4320"/>
          </w:tcPr>
          <w:p>
            <w:r>
              <w:rPr>
                <w:b/>
              </w:rPr>
              <w:t>Client</w:t>
            </w:r>
          </w:p>
        </w:tc>
        <w:tc>
          <w:tcPr>
            <w:tcW w:type="dxa" w:w="4320"/>
          </w:tcPr>
          <w:p>
            <w:r>
              <w:t>Thornbury Energy Group</w:t>
            </w:r>
          </w:p>
        </w:tc>
      </w:tr>
      <w:tr>
        <w:tc>
          <w:tcPr>
            <w:tcW w:type="dxa" w:w="4320"/>
          </w:tcPr>
          <w:p>
            <w:r>
              <w:rPr>
                <w:b/>
              </w:rPr>
              <w:t>Client address</w:t>
            </w:r>
          </w:p>
        </w:tc>
        <w:tc>
          <w:tcPr>
            <w:tcW w:type="dxa" w:w="4320"/>
          </w:tcPr>
          <w:p>
            <w:r>
              <w:t>12 Kingsway, Leeds LS1 2HQ</w:t>
            </w:r>
          </w:p>
        </w:tc>
      </w:tr>
      <w:tr>
        <w:tc>
          <w:tcPr>
            <w:tcW w:type="dxa" w:w="4320"/>
          </w:tcPr>
          <w:p>
            <w:r>
              <w:rPr>
                <w:b/>
              </w:rPr>
              <w:t>Engagement</w:t>
            </w:r>
          </w:p>
        </w:tc>
        <w:tc>
          <w:tcPr>
            <w:tcW w:type="dxa" w:w="4320"/>
          </w:tcPr>
          <w:p>
            <w:r>
              <w:t>Member Portal Modernisation</w:t>
            </w:r>
          </w:p>
        </w:tc>
      </w:tr>
      <w:tr>
        <w:tc>
          <w:tcPr>
            <w:tcW w:type="dxa" w:w="4320"/>
          </w:tcPr>
          <w:p>
            <w:r>
              <w:rPr>
                <w:b/>
              </w:rPr>
              <w:t>Commencement date</w:t>
            </w:r>
          </w:p>
        </w:tc>
        <w:tc>
          <w:tcPr>
            <w:tcW w:type="dxa" w:w="4320"/>
          </w:tcPr>
          <w:p>
            <w:r>
              <w:t>19 September 2025</w:t>
            </w:r>
          </w:p>
        </w:tc>
      </w:tr>
      <w:tr>
        <w:tc>
          <w:tcPr>
            <w:tcW w:type="dxa" w:w="4320"/>
          </w:tcPr>
          <w:p>
            <w:r>
              <w:rPr>
                <w:b/>
              </w:rPr>
              <w:t>Completion date</w:t>
            </w:r>
          </w:p>
        </w:tc>
        <w:tc>
          <w:tcPr>
            <w:tcW w:type="dxa" w:w="4320"/>
          </w:tcPr>
          <w:p>
            <w:r>
              <w:t>26 January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4,740.00</w:t>
            </w:r>
          </w:p>
        </w:tc>
      </w:tr>
      <w:tr>
        <w:tc>
          <w:tcPr>
            <w:tcW w:type="dxa" w:w="4320"/>
          </w:tcPr>
          <w:p>
            <w:r>
              <w:rPr>
                <w:b/>
              </w:rPr>
              <w:t>Ceiling amount</w:t>
            </w:r>
          </w:p>
        </w:tc>
        <w:tc>
          <w:tcPr>
            <w:tcW w:type="dxa" w:w="4320"/>
          </w:tcPr>
          <w:p>
            <w:r>
              <w:t>GBP 1,251,360.00</w:t>
            </w:r>
          </w:p>
        </w:tc>
      </w:tr>
      <w:tr>
        <w:tc>
          <w:tcPr>
            <w:tcW w:type="dxa" w:w="4320"/>
          </w:tcPr>
          <w:p>
            <w:r>
              <w:rPr>
                <w:b/>
              </w:rPr>
              <w:t>Blended rate</w:t>
            </w:r>
          </w:p>
        </w:tc>
        <w:tc>
          <w:tcPr>
            <w:tcW w:type="dxa" w:w="4320"/>
          </w:tcPr>
          <w:p>
            <w:r>
              <w:t>GBP 264.00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Member Portal Modernisation for Thornbury Energy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Data migration plan</w:t>
            </w:r>
          </w:p>
        </w:tc>
        <w:tc>
          <w:tcPr>
            <w:tcW w:type="dxa" w:w="2880"/>
          </w:tcPr>
          <w:p>
            <w:r>
              <w:t>1,236.52</w:t>
            </w:r>
          </w:p>
        </w:tc>
        <w:tc>
          <w:tcPr>
            <w:tcW w:type="dxa" w:w="2880"/>
          </w:tcPr>
          <w:p>
            <w:r>
              <w:t>326,441.74</w:t>
            </w:r>
          </w:p>
        </w:tc>
      </w:tr>
      <w:tr>
        <w:tc>
          <w:tcPr>
            <w:tcW w:type="dxa" w:w="2880"/>
          </w:tcPr>
          <w:p>
            <w:r>
              <w:t>Training materials</w:t>
            </w:r>
          </w:p>
        </w:tc>
        <w:tc>
          <w:tcPr>
            <w:tcW w:type="dxa" w:w="2880"/>
          </w:tcPr>
          <w:p>
            <w:r>
              <w:t>1,236.52</w:t>
            </w:r>
          </w:p>
        </w:tc>
        <w:tc>
          <w:tcPr>
            <w:tcW w:type="dxa" w:w="2880"/>
          </w:tcPr>
          <w:p>
            <w:r>
              <w:t>326,441.74</w:t>
            </w:r>
          </w:p>
        </w:tc>
      </w:tr>
      <w:tr>
        <w:tc>
          <w:tcPr>
            <w:tcW w:type="dxa" w:w="2880"/>
          </w:tcPr>
          <w:p>
            <w:r>
              <w:t>Benefits case</w:t>
            </w:r>
          </w:p>
        </w:tc>
        <w:tc>
          <w:tcPr>
            <w:tcW w:type="dxa" w:w="2880"/>
          </w:tcPr>
          <w:p>
            <w:r>
              <w:t>618.26</w:t>
            </w:r>
          </w:p>
        </w:tc>
        <w:tc>
          <w:tcPr>
            <w:tcW w:type="dxa" w:w="2880"/>
          </w:tcPr>
          <w:p>
            <w:r>
              <w:t>163,220.87</w:t>
            </w:r>
          </w:p>
        </w:tc>
      </w:tr>
      <w:tr>
        <w:tc>
          <w:tcPr>
            <w:tcW w:type="dxa" w:w="2880"/>
          </w:tcPr>
          <w:p>
            <w:r>
              <w:t>Vendor evaluation</w:t>
            </w:r>
          </w:p>
        </w:tc>
        <w:tc>
          <w:tcPr>
            <w:tcW w:type="dxa" w:w="2880"/>
          </w:tcPr>
          <w:p>
            <w:r>
              <w:t>824.35</w:t>
            </w:r>
          </w:p>
        </w:tc>
        <w:tc>
          <w:tcPr>
            <w:tcW w:type="dxa" w:w="2880"/>
          </w:tcPr>
          <w:p>
            <w:r>
              <w:t>217,627.83</w:t>
            </w:r>
          </w:p>
        </w:tc>
      </w:tr>
      <w:tr>
        <w:tc>
          <w:tcPr>
            <w:tcW w:type="dxa" w:w="2880"/>
          </w:tcPr>
          <w:p>
            <w:r>
              <w:t>Target operating model</w:t>
            </w:r>
          </w:p>
        </w:tc>
        <w:tc>
          <w:tcPr>
            <w:tcW w:type="dxa" w:w="2880"/>
          </w:tcPr>
          <w:p>
            <w:r>
              <w:t>824.35</w:t>
            </w:r>
          </w:p>
        </w:tc>
        <w:tc>
          <w:tcPr>
            <w:tcW w:type="dxa" w:w="2880"/>
          </w:tcPr>
          <w:p>
            <w:r>
              <w:t>217,627.82</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Thornbury Energy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