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SOW-2026-014</w:t>
            </w:r>
          </w:p>
        </w:tc>
      </w:tr>
      <w:tr>
        <w:tc>
          <w:tcPr>
            <w:tcW w:type="dxa" w:w="4320"/>
          </w:tcPr>
          <w:p>
            <w:r>
              <w:rPr>
                <w:b/>
              </w:rPr>
              <w:t>Client</w:t>
            </w:r>
          </w:p>
        </w:tc>
        <w:tc>
          <w:tcPr>
            <w:tcW w:type="dxa" w:w="4320"/>
          </w:tcPr>
          <w:p>
            <w:r>
              <w:t>Thornbury Energy Group</w:t>
            </w:r>
          </w:p>
        </w:tc>
      </w:tr>
      <w:tr>
        <w:tc>
          <w:tcPr>
            <w:tcW w:type="dxa" w:w="4320"/>
          </w:tcPr>
          <w:p>
            <w:r>
              <w:rPr>
                <w:b/>
              </w:rPr>
              <w:t>Client address</w:t>
            </w:r>
          </w:p>
        </w:tc>
        <w:tc>
          <w:tcPr>
            <w:tcW w:type="dxa" w:w="4320"/>
          </w:tcPr>
          <w:p>
            <w:r>
              <w:t>12 Kingsway, Leeds LS1 2HQ</w:t>
            </w:r>
          </w:p>
        </w:tc>
      </w:tr>
      <w:tr>
        <w:tc>
          <w:tcPr>
            <w:tcW w:type="dxa" w:w="4320"/>
          </w:tcPr>
          <w:p>
            <w:r>
              <w:rPr>
                <w:b/>
              </w:rPr>
              <w:t>Engagement</w:t>
            </w:r>
          </w:p>
        </w:tc>
        <w:tc>
          <w:tcPr>
            <w:tcW w:type="dxa" w:w="4320"/>
          </w:tcPr>
          <w:p>
            <w:r>
              <w:t>Revenue Assurance Optimisation</w:t>
            </w:r>
          </w:p>
        </w:tc>
      </w:tr>
      <w:tr>
        <w:tc>
          <w:tcPr>
            <w:tcW w:type="dxa" w:w="4320"/>
          </w:tcPr>
          <w:p>
            <w:r>
              <w:rPr>
                <w:b/>
              </w:rPr>
              <w:t>Commencement date</w:t>
            </w:r>
          </w:p>
        </w:tc>
        <w:tc>
          <w:tcPr>
            <w:tcW w:type="dxa" w:w="4320"/>
          </w:tcPr>
          <w:p>
            <w:r>
              <w:t>20 February 2026</w:t>
            </w:r>
          </w:p>
        </w:tc>
      </w:tr>
      <w:tr>
        <w:tc>
          <w:tcPr>
            <w:tcW w:type="dxa" w:w="4320"/>
          </w:tcPr>
          <w:p>
            <w:r>
              <w:rPr>
                <w:b/>
              </w:rPr>
              <w:t>Completion date</w:t>
            </w:r>
          </w:p>
        </w:tc>
        <w:tc>
          <w:tcPr>
            <w:tcW w:type="dxa" w:w="4320"/>
          </w:tcPr>
          <w:p>
            <w:r>
              <w:t>26 May 2027</w:t>
            </w:r>
          </w:p>
        </w:tc>
      </w:tr>
      <w:tr>
        <w:tc>
          <w:tcPr>
            <w:tcW w:type="dxa" w:w="4320"/>
          </w:tcPr>
          <w:p>
            <w:r>
              <w:rPr>
                <w:b/>
              </w:rPr>
              <w:t>Fee basis</w:t>
            </w:r>
          </w:p>
        </w:tc>
        <w:tc>
          <w:tcPr>
            <w:tcW w:type="dxa" w:w="4320"/>
          </w:tcPr>
          <w:p>
            <w:r>
              <w:t>Fixed fee</w:t>
            </w:r>
          </w:p>
        </w:tc>
      </w:tr>
      <w:tr>
        <w:tc>
          <w:tcPr>
            <w:tcW w:type="dxa" w:w="4320"/>
          </w:tcPr>
          <w:p>
            <w:r>
              <w:rPr>
                <w:b/>
              </w:rPr>
              <w:t>Ceiling hours</w:t>
            </w:r>
          </w:p>
        </w:tc>
        <w:tc>
          <w:tcPr>
            <w:tcW w:type="dxa" w:w="4320"/>
          </w:tcPr>
          <w:p>
            <w:r>
              <w:t>3,620.00</w:t>
            </w:r>
          </w:p>
        </w:tc>
      </w:tr>
      <w:tr>
        <w:tc>
          <w:tcPr>
            <w:tcW w:type="dxa" w:w="4320"/>
          </w:tcPr>
          <w:p>
            <w:r>
              <w:rPr>
                <w:b/>
              </w:rPr>
              <w:t>Ceiling amount</w:t>
            </w:r>
          </w:p>
        </w:tc>
        <w:tc>
          <w:tcPr>
            <w:tcW w:type="dxa" w:w="4320"/>
          </w:tcPr>
          <w:p>
            <w:r>
              <w:t>GBP 1,231,524.00</w:t>
            </w:r>
          </w:p>
        </w:tc>
      </w:tr>
      <w:tr>
        <w:tc>
          <w:tcPr>
            <w:tcW w:type="dxa" w:w="4320"/>
          </w:tcPr>
          <w:p>
            <w:r>
              <w:rPr>
                <w:b/>
              </w:rPr>
              <w:t>Blended rate</w:t>
            </w:r>
          </w:p>
        </w:tc>
        <w:tc>
          <w:tcPr>
            <w:tcW w:type="dxa" w:w="4320"/>
          </w:tcPr>
          <w:p>
            <w:r>
              <w:t>GBP 340.20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Revenue Assurance Optimisation for Thornbury Energy Group.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Hypercare support</w:t>
            </w:r>
          </w:p>
        </w:tc>
        <w:tc>
          <w:tcPr>
            <w:tcW w:type="dxa" w:w="2880"/>
          </w:tcPr>
          <w:p>
            <w:r>
              <w:t>603.33</w:t>
            </w:r>
          </w:p>
        </w:tc>
        <w:tc>
          <w:tcPr>
            <w:tcW w:type="dxa" w:w="2880"/>
          </w:tcPr>
          <w:p>
            <w:r>
              <w:t>205,254.00</w:t>
            </w:r>
          </w:p>
        </w:tc>
      </w:tr>
      <w:tr>
        <w:tc>
          <w:tcPr>
            <w:tcW w:type="dxa" w:w="2880"/>
          </w:tcPr>
          <w:p>
            <w:r>
              <w:t>Data migration plan</w:t>
            </w:r>
          </w:p>
        </w:tc>
        <w:tc>
          <w:tcPr>
            <w:tcW w:type="dxa" w:w="2880"/>
          </w:tcPr>
          <w:p>
            <w:r>
              <w:t>1,810.00</w:t>
            </w:r>
          </w:p>
        </w:tc>
        <w:tc>
          <w:tcPr>
            <w:tcW w:type="dxa" w:w="2880"/>
          </w:tcPr>
          <w:p>
            <w:r>
              <w:t>615,762.00</w:t>
            </w:r>
          </w:p>
        </w:tc>
      </w:tr>
      <w:tr>
        <w:tc>
          <w:tcPr>
            <w:tcW w:type="dxa" w:w="2880"/>
          </w:tcPr>
          <w:p>
            <w:r>
              <w:t>Solution design</w:t>
            </w:r>
          </w:p>
        </w:tc>
        <w:tc>
          <w:tcPr>
            <w:tcW w:type="dxa" w:w="2880"/>
          </w:tcPr>
          <w:p>
            <w:r>
              <w:t>1,206.67</w:t>
            </w:r>
          </w:p>
        </w:tc>
        <w:tc>
          <w:tcPr>
            <w:tcW w:type="dxa" w:w="2880"/>
          </w:tcPr>
          <w:p>
            <w:r>
              <w:t>410,508.00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Thornbury Energy Group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