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SOW-2025-009</w:t>
            </w:r>
          </w:p>
        </w:tc>
      </w:tr>
      <w:tr>
        <w:tc>
          <w:tcPr>
            <w:tcW w:type="dxa" w:w="4320"/>
          </w:tcPr>
          <w:p>
            <w:r>
              <w:rPr>
                <w:b/>
              </w:rPr>
              <w:t>Client</w:t>
            </w:r>
          </w:p>
        </w:tc>
        <w:tc>
          <w:tcPr>
            <w:tcW w:type="dxa" w:w="4320"/>
          </w:tcPr>
          <w:p>
            <w:r>
              <w:t>Underwood Utilities Collective</w:t>
            </w:r>
          </w:p>
        </w:tc>
      </w:tr>
      <w:tr>
        <w:tc>
          <w:tcPr>
            <w:tcW w:type="dxa" w:w="4320"/>
          </w:tcPr>
          <w:p>
            <w:r>
              <w:rPr>
                <w:b/>
              </w:rPr>
              <w:t>Client address</w:t>
            </w:r>
          </w:p>
        </w:tc>
        <w:tc>
          <w:tcPr>
            <w:tcW w:type="dxa" w:w="4320"/>
          </w:tcPr>
          <w:p>
            <w:r>
              <w:t>60 Broad Quay, Bristol BS1 4DA</w:t>
            </w:r>
          </w:p>
        </w:tc>
      </w:tr>
      <w:tr>
        <w:tc>
          <w:tcPr>
            <w:tcW w:type="dxa" w:w="4320"/>
          </w:tcPr>
          <w:p>
            <w:r>
              <w:rPr>
                <w:b/>
              </w:rPr>
              <w:t>Engagement</w:t>
            </w:r>
          </w:p>
        </w:tc>
        <w:tc>
          <w:tcPr>
            <w:tcW w:type="dxa" w:w="4320"/>
          </w:tcPr>
          <w:p>
            <w:r>
              <w:t>Workforce Planning Implementation</w:t>
            </w:r>
          </w:p>
        </w:tc>
      </w:tr>
      <w:tr>
        <w:tc>
          <w:tcPr>
            <w:tcW w:type="dxa" w:w="4320"/>
          </w:tcPr>
          <w:p>
            <w:r>
              <w:rPr>
                <w:b/>
              </w:rPr>
              <w:t>Commencement date</w:t>
            </w:r>
          </w:p>
        </w:tc>
        <w:tc>
          <w:tcPr>
            <w:tcW w:type="dxa" w:w="4320"/>
          </w:tcPr>
          <w:p>
            <w:r>
              <w:t>04 September 2025</w:t>
            </w:r>
          </w:p>
        </w:tc>
      </w:tr>
      <w:tr>
        <w:tc>
          <w:tcPr>
            <w:tcW w:type="dxa" w:w="4320"/>
          </w:tcPr>
          <w:p>
            <w:r>
              <w:rPr>
                <w:b/>
              </w:rPr>
              <w:t>Completion date</w:t>
            </w:r>
          </w:p>
        </w:tc>
        <w:tc>
          <w:tcPr>
            <w:tcW w:type="dxa" w:w="4320"/>
          </w:tcPr>
          <w:p>
            <w:r>
              <w:t>20 November 2026</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4,610.00</w:t>
            </w:r>
          </w:p>
        </w:tc>
      </w:tr>
      <w:tr>
        <w:tc>
          <w:tcPr>
            <w:tcW w:type="dxa" w:w="4320"/>
          </w:tcPr>
          <w:p>
            <w:r>
              <w:rPr>
                <w:b/>
              </w:rPr>
              <w:t>Ceiling amount</w:t>
            </w:r>
          </w:p>
        </w:tc>
        <w:tc>
          <w:tcPr>
            <w:tcW w:type="dxa" w:w="4320"/>
          </w:tcPr>
          <w:p>
            <w:r>
              <w:t>GBP 248,924.46</w:t>
            </w:r>
          </w:p>
        </w:tc>
      </w:tr>
      <w:tr>
        <w:tc>
          <w:tcPr>
            <w:tcW w:type="dxa" w:w="4320"/>
          </w:tcPr>
          <w:p>
            <w:r>
              <w:rPr>
                <w:b/>
              </w:rPr>
              <w:t>Blended rate</w:t>
            </w:r>
          </w:p>
        </w:tc>
        <w:tc>
          <w:tcPr>
            <w:tcW w:type="dxa" w:w="4320"/>
          </w:tcPr>
          <w:p>
            <w:r>
              <w:t>GBP 54.00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Workforce Planning Implementation for Underwood Utilities Collective.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Solution design</w:t>
            </w:r>
          </w:p>
        </w:tc>
        <w:tc>
          <w:tcPr>
            <w:tcW w:type="dxa" w:w="2880"/>
          </w:tcPr>
          <w:p>
            <w:r>
              <w:t>1,152.50</w:t>
            </w:r>
          </w:p>
        </w:tc>
        <w:tc>
          <w:tcPr>
            <w:tcW w:type="dxa" w:w="2880"/>
          </w:tcPr>
          <w:p>
            <w:r>
              <w:t>62,231.12</w:t>
            </w:r>
          </w:p>
        </w:tc>
      </w:tr>
      <w:tr>
        <w:tc>
          <w:tcPr>
            <w:tcW w:type="dxa" w:w="2880"/>
          </w:tcPr>
          <w:p>
            <w:r>
              <w:t>Go-live readiness review</w:t>
            </w:r>
          </w:p>
        </w:tc>
        <w:tc>
          <w:tcPr>
            <w:tcW w:type="dxa" w:w="2880"/>
          </w:tcPr>
          <w:p>
            <w:r>
              <w:t>1,152.50</w:t>
            </w:r>
          </w:p>
        </w:tc>
        <w:tc>
          <w:tcPr>
            <w:tcW w:type="dxa" w:w="2880"/>
          </w:tcPr>
          <w:p>
            <w:r>
              <w:t>62,231.12</w:t>
            </w:r>
          </w:p>
        </w:tc>
      </w:tr>
      <w:tr>
        <w:tc>
          <w:tcPr>
            <w:tcW w:type="dxa" w:w="2880"/>
          </w:tcPr>
          <w:p>
            <w:r>
              <w:t>Target operating model</w:t>
            </w:r>
          </w:p>
        </w:tc>
        <w:tc>
          <w:tcPr>
            <w:tcW w:type="dxa" w:w="2880"/>
          </w:tcPr>
          <w:p>
            <w:r>
              <w:t>1,152.50</w:t>
            </w:r>
          </w:p>
        </w:tc>
        <w:tc>
          <w:tcPr>
            <w:tcW w:type="dxa" w:w="2880"/>
          </w:tcPr>
          <w:p>
            <w:r>
              <w:t>62,231.12</w:t>
            </w:r>
          </w:p>
        </w:tc>
      </w:tr>
      <w:tr>
        <w:tc>
          <w:tcPr>
            <w:tcW w:type="dxa" w:w="2880"/>
          </w:tcPr>
          <w:p>
            <w:r>
              <w:t>Integration build</w:t>
            </w:r>
          </w:p>
        </w:tc>
        <w:tc>
          <w:tcPr>
            <w:tcW w:type="dxa" w:w="2880"/>
          </w:tcPr>
          <w:p>
            <w:r>
              <w:t>1,152.50</w:t>
            </w:r>
          </w:p>
        </w:tc>
        <w:tc>
          <w:tcPr>
            <w:tcW w:type="dxa" w:w="2880"/>
          </w:tcPr>
          <w:p>
            <w:r>
              <w:t>62,231.10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Underwood Utilities Collective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