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Hollingsworth Advisory Partners LLP</w:t>
      </w:r>
    </w:p>
    <w:p>
      <w:pPr>
        <w:jc w:val="center"/>
      </w:pPr>
      <w:r>
        <w:rPr>
          <w:b/>
          <w:sz w:val="24"/>
        </w:rPr>
        <w:t>STATEMENT OF WORK</w:t>
      </w:r>
    </w:p>
    <w:p/>
    <w:tbl>
      <w:tblPr>
        <w:tblStyle w:val="TableGrid"/>
        <w:tblW w:type="auto" w:w="0"/>
        <w:tblLook w:firstColumn="1" w:firstRow="1" w:lastColumn="0" w:lastRow="0" w:noHBand="0" w:noVBand="1" w:val="04A0"/>
      </w:tblPr>
      <w:tblGrid>
        <w:gridCol w:w="4320"/>
        <w:gridCol w:w="4320"/>
      </w:tblGrid>
      <w:tr>
        <w:tc>
          <w:tcPr>
            <w:tcW w:type="dxa" w:w="4320"/>
          </w:tcPr>
          <w:p>
            <w:r>
              <w:rPr>
                <w:b/>
              </w:rPr>
              <w:t>SOW reference</w:t>
            </w:r>
          </w:p>
        </w:tc>
        <w:tc>
          <w:tcPr>
            <w:tcW w:type="dxa" w:w="4320"/>
          </w:tcPr>
          <w:p>
            <w:r>
              <w:t>SOW-2026-004</w:t>
            </w:r>
          </w:p>
        </w:tc>
      </w:tr>
      <w:tr>
        <w:tc>
          <w:tcPr>
            <w:tcW w:type="dxa" w:w="4320"/>
          </w:tcPr>
          <w:p>
            <w:r>
              <w:rPr>
                <w:b/>
              </w:rPr>
              <w:t>Client</w:t>
            </w:r>
          </w:p>
        </w:tc>
        <w:tc>
          <w:tcPr>
            <w:tcW w:type="dxa" w:w="4320"/>
          </w:tcPr>
          <w:p>
            <w:r>
              <w:t>Westmoor Media Trust</w:t>
            </w:r>
          </w:p>
        </w:tc>
      </w:tr>
      <w:tr>
        <w:tc>
          <w:tcPr>
            <w:tcW w:type="dxa" w:w="4320"/>
          </w:tcPr>
          <w:p>
            <w:r>
              <w:rPr>
                <w:b/>
              </w:rPr>
              <w:t>Client address</w:t>
            </w:r>
          </w:p>
        </w:tc>
        <w:tc>
          <w:tcPr>
            <w:tcW w:type="dxa" w:w="4320"/>
          </w:tcPr>
          <w:p>
            <w:r>
              <w:t>Civic Centre, Coventry CV1 5RR</w:t>
            </w:r>
          </w:p>
        </w:tc>
      </w:tr>
      <w:tr>
        <w:tc>
          <w:tcPr>
            <w:tcW w:type="dxa" w:w="4320"/>
          </w:tcPr>
          <w:p>
            <w:r>
              <w:rPr>
                <w:b/>
              </w:rPr>
              <w:t>Engagement</w:t>
            </w:r>
          </w:p>
        </w:tc>
        <w:tc>
          <w:tcPr>
            <w:tcW w:type="dxa" w:w="4320"/>
          </w:tcPr>
          <w:p>
            <w:r>
              <w:t>Inventory Programme</w:t>
            </w:r>
          </w:p>
        </w:tc>
      </w:tr>
      <w:tr>
        <w:tc>
          <w:tcPr>
            <w:tcW w:type="dxa" w:w="4320"/>
          </w:tcPr>
          <w:p>
            <w:r>
              <w:rPr>
                <w:b/>
              </w:rPr>
              <w:t>Commencement date</w:t>
            </w:r>
          </w:p>
        </w:tc>
        <w:tc>
          <w:tcPr>
            <w:tcW w:type="dxa" w:w="4320"/>
          </w:tcPr>
          <w:p>
            <w:r>
              <w:t>23 January 2026</w:t>
            </w:r>
          </w:p>
        </w:tc>
      </w:tr>
      <w:tr>
        <w:tc>
          <w:tcPr>
            <w:tcW w:type="dxa" w:w="4320"/>
          </w:tcPr>
          <w:p>
            <w:r>
              <w:rPr>
                <w:b/>
              </w:rPr>
              <w:t>Completion date</w:t>
            </w:r>
          </w:p>
        </w:tc>
        <w:tc>
          <w:tcPr>
            <w:tcW w:type="dxa" w:w="4320"/>
          </w:tcPr>
          <w:p>
            <w:r>
              <w:t>01 October 2026</w:t>
            </w:r>
          </w:p>
        </w:tc>
      </w:tr>
      <w:tr>
        <w:tc>
          <w:tcPr>
            <w:tcW w:type="dxa" w:w="4320"/>
          </w:tcPr>
          <w:p>
            <w:r>
              <w:rPr>
                <w:b/>
              </w:rPr>
              <w:t>Fee basis</w:t>
            </w:r>
          </w:p>
        </w:tc>
        <w:tc>
          <w:tcPr>
            <w:tcW w:type="dxa" w:w="4320"/>
          </w:tcPr>
          <w:p>
            <w:r>
              <w:t>Time and materials</w:t>
            </w:r>
          </w:p>
        </w:tc>
      </w:tr>
      <w:tr>
        <w:tc>
          <w:tcPr>
            <w:tcW w:type="dxa" w:w="4320"/>
          </w:tcPr>
          <w:p>
            <w:r>
              <w:rPr>
                <w:b/>
              </w:rPr>
              <w:t>Ceiling hours</w:t>
            </w:r>
          </w:p>
        </w:tc>
        <w:tc>
          <w:tcPr>
            <w:tcW w:type="dxa" w:w="4320"/>
          </w:tcPr>
          <w:p>
            <w:r>
              <w:t>1,620.00</w:t>
            </w:r>
          </w:p>
        </w:tc>
      </w:tr>
      <w:tr>
        <w:tc>
          <w:tcPr>
            <w:tcW w:type="dxa" w:w="4320"/>
          </w:tcPr>
          <w:p>
            <w:r>
              <w:rPr>
                <w:b/>
              </w:rPr>
              <w:t>Ceiling amount</w:t>
            </w:r>
          </w:p>
        </w:tc>
        <w:tc>
          <w:tcPr>
            <w:tcW w:type="dxa" w:w="4320"/>
          </w:tcPr>
          <w:p>
            <w:r>
              <w:t>GBP 489,240.00</w:t>
            </w:r>
          </w:p>
        </w:tc>
      </w:tr>
      <w:tr>
        <w:tc>
          <w:tcPr>
            <w:tcW w:type="dxa" w:w="4320"/>
          </w:tcPr>
          <w:p>
            <w:r>
              <w:rPr>
                <w:b/>
              </w:rPr>
              <w:t>Blended rate</w:t>
            </w:r>
          </w:p>
        </w:tc>
        <w:tc>
          <w:tcPr>
            <w:tcW w:type="dxa" w:w="4320"/>
          </w:tcPr>
          <w:p>
            <w:r>
              <w:t>GBP 302.00 per hour</w:t>
            </w:r>
          </w:p>
        </w:tc>
      </w:tr>
      <w:tr>
        <w:tc>
          <w:tcPr>
            <w:tcW w:type="dxa" w:w="4320"/>
          </w:tcPr>
          <w:p>
            <w:r>
              <w:rPr>
                <w:b/>
              </w:rPr>
              <w:t>Payment terms</w:t>
            </w:r>
          </w:p>
        </w:tc>
        <w:tc>
          <w:tcPr>
            <w:tcW w:type="dxa" w:w="4320"/>
          </w:tcPr>
          <w:p>
            <w:r>
              <w:t>Net 30 days from date of issue</w:t>
            </w:r>
          </w:p>
        </w:tc>
      </w:tr>
    </w:tbl>
    <w:p/>
    <w:p>
      <w:r>
        <w:rPr>
          <w:b/>
        </w:rPr>
        <w:t>1.  Scope of work</w:t>
      </w:r>
    </w:p>
    <w:p>
      <w:r>
        <w:t>Hollingsworth Advisory Partners LLP shall provide the deliverables set out below in respect of Inventory Programme for Westmoor Media Trust. Work shall not exceed the ceiling hours or the ceiling amount stated above without a written amendment executed by both parties.</w:t>
      </w:r>
    </w:p>
    <w:p/>
    <w:p>
      <w:r>
        <w:rPr>
          <w:b/>
        </w:rPr>
        <w:t>2.  Deliverables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Deliverable</w:t>
            </w:r>
          </w:p>
        </w:tc>
        <w:tc>
          <w:tcPr>
            <w:tcW w:type="dxa" w:w="2880"/>
          </w:tcPr>
          <w:p>
            <w:r>
              <w:rPr>
                <w:b/>
              </w:rPr>
              <w:t>Hours</w:t>
            </w:r>
          </w:p>
        </w:tc>
        <w:tc>
          <w:tcPr>
            <w:tcW w:type="dxa" w:w="2880"/>
          </w:tcPr>
          <w:p>
            <w:r>
              <w:rPr>
                <w:b/>
              </w:rPr>
              <w:t>Amount (GBP)</w:t>
            </w:r>
          </w:p>
        </w:tc>
      </w:tr>
      <w:tr>
        <w:tc>
          <w:tcPr>
            <w:tcW w:type="dxa" w:w="2880"/>
          </w:tcPr>
          <w:p>
            <w:r>
              <w:t>Data migration plan</w:t>
            </w:r>
          </w:p>
        </w:tc>
        <w:tc>
          <w:tcPr>
            <w:tcW w:type="dxa" w:w="2880"/>
          </w:tcPr>
          <w:p>
            <w:r>
              <w:t>648.00</w:t>
            </w:r>
          </w:p>
        </w:tc>
        <w:tc>
          <w:tcPr>
            <w:tcW w:type="dxa" w:w="2880"/>
          </w:tcPr>
          <w:p>
            <w:r>
              <w:t>195,696.00</w:t>
            </w:r>
          </w:p>
        </w:tc>
      </w:tr>
      <w:tr>
        <w:tc>
          <w:tcPr>
            <w:tcW w:type="dxa" w:w="2880"/>
          </w:tcPr>
          <w:p>
            <w:r>
              <w:t>Cutover rehearsal</w:t>
            </w:r>
          </w:p>
        </w:tc>
        <w:tc>
          <w:tcPr>
            <w:tcW w:type="dxa" w:w="2880"/>
          </w:tcPr>
          <w:p>
            <w:r>
              <w:t>324.00</w:t>
            </w:r>
          </w:p>
        </w:tc>
        <w:tc>
          <w:tcPr>
            <w:tcW w:type="dxa" w:w="2880"/>
          </w:tcPr>
          <w:p>
            <w:r>
              <w:t>97,848.00</w:t>
            </w:r>
          </w:p>
        </w:tc>
      </w:tr>
      <w:tr>
        <w:tc>
          <w:tcPr>
            <w:tcW w:type="dxa" w:w="2880"/>
          </w:tcPr>
          <w:p>
            <w:r>
              <w:t>Integration build</w:t>
            </w:r>
          </w:p>
        </w:tc>
        <w:tc>
          <w:tcPr>
            <w:tcW w:type="dxa" w:w="2880"/>
          </w:tcPr>
          <w:p>
            <w:r>
              <w:t>216.00</w:t>
            </w:r>
          </w:p>
        </w:tc>
        <w:tc>
          <w:tcPr>
            <w:tcW w:type="dxa" w:w="2880"/>
          </w:tcPr>
          <w:p>
            <w:r>
              <w:t>65,232.00</w:t>
            </w:r>
          </w:p>
        </w:tc>
      </w:tr>
      <w:tr>
        <w:tc>
          <w:tcPr>
            <w:tcW w:type="dxa" w:w="2880"/>
          </w:tcPr>
          <w:p>
            <w:r>
              <w:t>Training materials</w:t>
            </w:r>
          </w:p>
        </w:tc>
        <w:tc>
          <w:tcPr>
            <w:tcW w:type="dxa" w:w="2880"/>
          </w:tcPr>
          <w:p>
            <w:r>
              <w:t>432.00</w:t>
            </w:r>
          </w:p>
        </w:tc>
        <w:tc>
          <w:tcPr>
            <w:tcW w:type="dxa" w:w="2880"/>
          </w:tcPr>
          <w:p>
            <w:r>
              <w:t>130,464.00</w:t>
            </w:r>
          </w:p>
        </w:tc>
      </w:tr>
    </w:tbl>
    <w:p/>
    <w:p>
      <w:r>
        <w:rPr>
          <w:b/>
        </w:rPr>
        <w:t>3.  Invoicing</w:t>
      </w:r>
    </w:p>
    <w:p>
      <w:r>
        <w:t>Invoices shall be raised monthly in arrears and are payable net 30 days from date of issue. A retainer held on account shall be applied against each invoice until exhausted.</w:t>
      </w:r>
    </w:p>
    <w:p/>
    <w:p>
      <w:r>
        <w:t>Signed for and on behalf of the parties:</w:t>
      </w:r>
    </w:p>
    <w:p>
      <w:r>
        <w:t>Hollingsworth Advisory Partners LLP  ..................................    Date  ............</w:t>
      </w:r>
    </w:p>
    <w:p>
      <w:r>
        <w:t>Westmoor Media Trust  ..................................    Date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