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-809623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Crie um novo projeto baseado no design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layout</w:t>
        </w:r>
      </w:hyperlink>
      <w:r w:rsidDel="00000000" w:rsidR="00000000" w:rsidRPr="00000000">
        <w:rPr>
          <w:rtl w:val="0"/>
        </w:rPr>
        <w:t xml:space="preserve">) utilizando ConstraintLayout. Além disso, quando o usuário clicar no botão “calcular valor total” deverá mostrar em um componente Toast a quantidade total a ser paga de acordo com a porcentagem de desconto digitada.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marvelapp.com/194b601g/screen/568391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mgIwsehxfztKs2w97mhH/vd+7A==">AMUW2mVtezYMqBCFkgSIpiMWi5CXkaGqCuRkIFC22EvmPiiyq/D+KIO6pqZbXJO3gwaOIz8YvGkI2YSvj2+mH8MqNEFIj/+0emI3yJRK/rSr/zBj8qXogjQ=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