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Black Box system for organizing a story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Len Reed, environment and science team leader at The Oregonian, developed a system to help reporters handle unruly information.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Black Box helps reporters sort through and prioritize the information they have and quickly and clearly make the case for their stories to editors. With the system, writing a story is essentially boiled into four phases: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pol5ns4080xu" w:id="0"/>
      <w:bookmarkEnd w:id="0"/>
      <w:r w:rsidDel="00000000" w:rsidR="00000000" w:rsidRPr="00000000">
        <w:rPr>
          <w:rtl w:val="0"/>
        </w:rPr>
        <w:t xml:space="preserve">1. Reporting phase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Gather - at minimum 5 sources(per page)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Search - make sure sources come from different mediums (people, websites, print, etc)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Ask - ask relevant and interesting questions. No one wants to read a boring paper about nothing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Interview - make sure that the person you interview is knowledgeable, don’t ask y/n questions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Sort - only after you gather all of the information do you begin to organize and develop a story</w:t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87fqhlvlsds6" w:id="1"/>
      <w:bookmarkEnd w:id="1"/>
      <w:r w:rsidDel="00000000" w:rsidR="00000000" w:rsidRPr="00000000">
        <w:rPr>
          <w:rtl w:val="0"/>
        </w:rPr>
        <w:t xml:space="preserve">2. Black Box phase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What is this information?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What does it mean?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What does it signify?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What is the headline?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What is the lead?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What is its context – with what does it connect?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So what?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Who cares?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How can you quickly tell it to the clueless and make it count?</w:t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cyu44o2m9cz" w:id="2"/>
      <w:bookmarkEnd w:id="2"/>
      <w:r w:rsidDel="00000000" w:rsidR="00000000" w:rsidRPr="00000000">
        <w:rPr>
          <w:rtl w:val="0"/>
        </w:rPr>
        <w:t xml:space="preserve">3. Editor(Teacher) phase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Succinctly tell your editor(teacher) what the story says.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Tell your editor the headline that captures the story.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Be prepared to defend your thinking.</w:t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bookmarkStart w:colFirst="0" w:colLast="0" w:name="_mjbqswudq70i" w:id="3"/>
      <w:bookmarkEnd w:id="3"/>
      <w:r w:rsidDel="00000000" w:rsidR="00000000" w:rsidRPr="00000000">
        <w:rPr>
          <w:rtl w:val="0"/>
        </w:rPr>
        <w:t xml:space="preserve">4. Writing phase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You’ve got a lead; now order a sequence in telling: organize.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Write quickly, staying on track – you can go back and tweak.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As you write, periodically ask yourself: Who cares?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As you write, periodically frighten yourself: The audience is leaving.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When you finish, go back and ruthlessly cut words and sentences.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Before last reading, say “no one cares”; let the story change your mind.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