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   ____________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Date:     ____________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Period:  ____________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Discipline: Work Ethic, Teamwork, and Communication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Multiple Choice: </w:t>
      </w:r>
      <w:r w:rsidDel="00000000" w:rsidR="00000000" w:rsidRPr="00000000">
        <w:rPr>
          <w:rtl w:val="0"/>
        </w:rPr>
        <w:t xml:space="preserve">Select the best response.  1 point each.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Which of these is a disadvantage of Teamwork?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More ideas may be generated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More resources are available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More time is taken to perform the tasks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More networking opportunities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Communicating should not come _____________the engineering ; it’s _________of the engineering.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before; part                       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after; part  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                  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before; whole                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after; whole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during; part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during;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Which of the following is not a characteristic of good work ethic?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Attendance and punctuality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Goal Setting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Procrastination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Positive Attitude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Accomplishment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4.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5.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6.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Fill in the Blank/Matching. 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Free Response: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