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40195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09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One of the sub class under Shape Class. It has its own area function, draw function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095500" cy="16287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Node class for linkedlist. Taking 2 objects, one is data and the other one is the next node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34194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MainClass for writing a main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509905" cy="5967413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19322" l="-801" r="8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9905" cy="596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Picture class is to sum up all of areas in the linkedlist and draw all pictures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55721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Rectangle class is a sub class under Square class which also have its own area, and draw function.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5257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shape class to know what kind of shapes in the linkedlist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52768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One of the sub class under shape class. It has its own area, draw function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5114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One of the sub class under shape class. It has its own area, draw function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Compilation: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5810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633913" cy="6064132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6064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281488" cy="747813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7478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