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5b9bd5"/>
  <w:body>
    <w:p>
      <w:pPr>
        <w:pStyle w:val="style0"/>
        <w:keepNext w:val="false"/>
        <w:keepLines w:val="false"/>
        <w:pageBreakBefore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 xml:space="preserve">    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 xml:space="preserve">              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浅析人工智能时代艺术创作的革新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left="420" w:leftChars="200" w:firstLine="420" w:firstLineChars="200"/>
        <w:textAlignment w:val="auto"/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</w:pP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2001年，史蒂夫.斯皮尔伯格执导的影片《人工智能》引起轰动，影迷们以其为契机畅想未来人工智能时代的科技与伦理变革。不过，这样的畅想在当时人们的理解中更多是基于遥远的将来，似乎与现实生活仍然相距甚远。然而，仅仅15年后，2016年，人工智能Alphago便以以4:1的巨大优势在堪称“人类智慧最后圣地”的围棋上战胜围棋大师李世石。人工智能的极速发展俨然已是不争的现实，正在全速重塑着人类社会的方方面面。基于鲁晓波教授关于艺术与科技融合创新的精彩讲座，笔者将浅析人工智能时代艺术创作的革新。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left="420" w:leftChars="200" w:firstLine="420" w:firstLineChars="200"/>
        <w:textAlignment w:val="auto"/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首先，笔者提出艺术与人工智能的具体定义。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艺术</w:t>
      </w:r>
      <w:r>
        <w:rPr>
          <w:rFonts w:ascii="仿宋" w:cs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泛指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指凭借技巧、意愿、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想象力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、经验等综合人为因素的融合与平衡，以创作隐含美学的器物、环境、影像、动作或声音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等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，也指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与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他人分享美的感觉或有深意的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情感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与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意识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 w:eastAsia="zh-CN"/>
        </w:rPr>
        <w:t>，以此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表达既有感知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并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将个人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乃至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群体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的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体验沉淀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/>
        </w:rPr>
        <w:t>并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t>展现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eastAsia="zh-CN"/>
        </w:rPr>
        <w:t>。</w:t>
      </w:r>
      <w:r>
        <w:rPr>
          <w:rStyle w:val="style38"/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</w:rPr>
        <w:footnoteReference w:id="1"/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 w:eastAsia="zh-CN"/>
        </w:rPr>
        <w:t>与此同时，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人工智能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 w:eastAsia="zh-CN"/>
        </w:rPr>
        <w:t>作为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计算机科学的一个分支，是指使用计算机代替人类实现认知、识别、分析、决策等功能的</w:t>
      </w:r>
      <w:r>
        <w:rPr>
          <w:rFonts w:ascii="仿宋" w:cs="仿宋" w:eastAsia="仿宋" w:hAnsi="仿宋" w:hint="default"/>
          <w:b w:val="false"/>
          <w:bCs w:val="false"/>
          <w:i w:val="false"/>
          <w:iCs w:val="false"/>
          <w:sz w:val="21"/>
          <w:szCs w:val="21"/>
          <w:lang w:val="en-US" w:eastAsia="zh-CN"/>
        </w:rPr>
        <w:t>一系列</w:t>
      </w:r>
      <w:r>
        <w:rPr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技术，其本质是开发和模拟人的意识与思维的信息的过程。</w:t>
      </w:r>
      <w:r>
        <w:rPr>
          <w:rStyle w:val="style38"/>
          <w:rFonts w:ascii="仿宋" w:cs="仿宋" w:eastAsia="仿宋" w:hAnsi="仿宋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footnoteReference w:id="2"/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 xml:space="preserve"> 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一．艺术具有鲜明的时代性：艺术创作的人工智能时代已然到来</w:t>
      </w:r>
    </w:p>
    <w:p>
      <w:pPr>
        <w:pStyle w:val="style94"/>
        <w:keepNext w:val="false"/>
        <w:keepLines w:val="false"/>
        <w:pageBreakBefore w:val="false"/>
        <w:widowControl/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firstLine="48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4"/>
          <w:szCs w:val="24"/>
          <w:lang w:val="en-US" w:eastAsia="zh-CN"/>
        </w:rPr>
        <w:t>艺术脱胎于其特定的时代背景。唐诗宋词元曲是中国古代的艺术；以牛顿力学为基础的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自然科学是工业时代的艺术；以信息技术为基础的计算机科学是信息时代的艺术。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大多受众的观点认为，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“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目前的人工智能更擅长从大量数据中发现规律，帮助人类完成那些仅仅简单思考就可做出决策的重复性工作，而人类相对人工智能的优势就是，人类知情感、明善恶、懂美丑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，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更善于从事创造性要求极高的艺术创作工作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”。</w:t>
      </w:r>
      <w:r>
        <w:rPr>
          <w:rStyle w:val="style38"/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footnoteReference w:id="3"/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然而这只是从普遍规律的角度，来区分人工智能与人类智能的不同。实际上，现阶段的人工智能已然能够进行令人“刮目相看”的艺术创作。从互联网时代到AI时代，人机交互的方式更为自然，媒介愈加多元化。经过AI与VR的助力，艺术也将更加多元化、更富创造力。人工智能，正在全速改变着艺术创作的方方面面，艺术创作的人工智能时代已然到来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以下举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三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例论述。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2017年春节前夕，阿里巴巴在公司的西溪园区展示了能够自动创作春联的机器人——阿里云人工智能ET。ET不仅会更具之前学习的书法风格，现场挥毫泼墨，而且创作的春联内容，也是由人工智能算法根据人类实验者的具体要求，现场创作而成。既能写出颇具传统特色的春联“九州天空花锦绣，未央云淡人泰康”，也可写出调侃色彩浓厚的春联“貌赛西溪吴彦祖，才及阿里陈清扬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。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”</w:t>
      </w:r>
      <w:r>
        <w:rPr>
          <w:rStyle w:val="style38"/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footnoteReference w:id="4"/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用人工智能进行诗歌创作，也是人工智能领域长期的研究方向。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2016年，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谷歌的工程师让人工智能学习了2865首爱情小说，然后人工智能通过机器学习，习得了英语诗歌创作的基本格式，接下来，人工智能真的创作了许多情感小诗。这些小诗，颇具多愁善感意味，隐约流露着两千多篇爱情小说里，为了爱情辗转反侧的主人公们辗转反侧的微妙情愫。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“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比如下面这首小诗：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</w:rPr>
        <w:t>「it made me want to cry／no one had seen him since.／it made me feel uneasy.／no one had seen him.／the thought made me smile.／the pain was unbearable.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 xml:space="preserve">/ 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</w:rPr>
        <w:t>the crowd was silent.／the man called out.／the old man said.／the man asked.」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谷歌</w:t>
      </w:r>
      <w:r>
        <w:rPr>
          <w:rFonts w:ascii="黑体" w:cs="黑体" w:eastAsia="黑体" w:hAnsi="黑体" w:hint="eastAsia"/>
          <w:sz w:val="21"/>
          <w:szCs w:val="21"/>
        </w:rPr>
        <w:t>为训练机器“吟诗”，</w:t>
      </w: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甚至又</w:t>
      </w:r>
      <w:r>
        <w:rPr>
          <w:rFonts w:ascii="黑体" w:cs="黑体" w:eastAsia="黑体" w:hAnsi="黑体" w:hint="eastAsia"/>
          <w:sz w:val="21"/>
          <w:szCs w:val="21"/>
        </w:rPr>
        <w:t>从350万诗句中抽取了120万个诗句去训练机器，输入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‘</w:t>
      </w:r>
      <w:r>
        <w:rPr>
          <w:rFonts w:ascii="黑体" w:cs="黑体" w:eastAsia="黑体" w:hAnsi="黑体" w:hint="eastAsia"/>
          <w:sz w:val="21"/>
          <w:szCs w:val="21"/>
        </w:rPr>
        <w:t>春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’</w:t>
      </w:r>
      <w:r>
        <w:rPr>
          <w:rFonts w:ascii="黑体" w:cs="黑体" w:eastAsia="黑体" w:hAnsi="黑体" w:hint="eastAsia"/>
          <w:sz w:val="21"/>
          <w:szCs w:val="21"/>
        </w:rPr>
        <w:t>、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‘</w:t>
      </w:r>
      <w:r>
        <w:rPr>
          <w:rFonts w:ascii="黑体" w:cs="黑体" w:eastAsia="黑体" w:hAnsi="黑体" w:hint="eastAsia"/>
          <w:sz w:val="21"/>
          <w:szCs w:val="21"/>
        </w:rPr>
        <w:t>琵琶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’</w:t>
      </w:r>
      <w:r>
        <w:rPr>
          <w:rFonts w:ascii="黑体" w:cs="黑体" w:eastAsia="黑体" w:hAnsi="黑体" w:hint="eastAsia"/>
          <w:sz w:val="21"/>
          <w:szCs w:val="21"/>
        </w:rPr>
        <w:t>、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‘</w:t>
      </w:r>
      <w:r>
        <w:rPr>
          <w:rFonts w:ascii="黑体" w:cs="黑体" w:eastAsia="黑体" w:hAnsi="黑体" w:hint="eastAsia"/>
          <w:sz w:val="21"/>
          <w:szCs w:val="21"/>
        </w:rPr>
        <w:t>醉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’</w:t>
      </w:r>
      <w:r>
        <w:rPr>
          <w:rFonts w:ascii="黑体" w:cs="黑体" w:eastAsia="黑体" w:hAnsi="黑体" w:hint="eastAsia"/>
          <w:sz w:val="21"/>
          <w:szCs w:val="21"/>
        </w:rPr>
        <w:t>等关键词和平仄要求，于是作出了这样一首绝句：「双眸剪秋水，一手弹春风；歌尽琵琶怨，醉来入梦中。」</w:t>
      </w:r>
      <w:r>
        <w:rPr>
          <w:rFonts w:ascii="黑体" w:cs="黑体" w:eastAsia="黑体" w:hAnsi="黑体" w:hint="eastAsia"/>
          <w:sz w:val="21"/>
          <w:szCs w:val="21"/>
          <w:lang w:eastAsia="zh-CN"/>
        </w:rPr>
        <w:t>”</w:t>
      </w:r>
      <w:r>
        <w:rPr>
          <w:rStyle w:val="style38"/>
          <w:rFonts w:ascii="黑体" w:cs="黑体" w:eastAsia="黑体" w:hAnsi="黑体" w:hint="eastAsia"/>
          <w:sz w:val="21"/>
          <w:szCs w:val="21"/>
        </w:rPr>
        <w:footnoteReference w:id="5"/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书法、春联、诗歌仿佛与大众文艺仍然有一定距离。然而实际上，人工智能艺术创作早已走进大众生活，其早已广泛应用于相片处理。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2016年夏天，一款名为Prisma的相片处理程序在互联网社会走红。其创作历程，可以比喻为一名技艺精湛的画师，对照片进行联想与重塑。Prisma画师，曾经接受过系统的美学与艺术教育，临摹过数以万记的大师名作，精通各式油画、水彩画、漫画乃至中国国画技法，并通过算法构筑出绚丽多彩的艺术天地。例如如下绘画作品，仿佛是梵高著名画作《星空》的再现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drawing>
          <wp:inline distL="0" distT="0" distB="0" distR="0">
            <wp:extent cx="4560570" cy="2359025"/>
            <wp:effectExtent l="0" t="0" r="11430" b="3175"/>
            <wp:docPr id="1027" name="图片 1" descr="83025aafa40f4bfbf78177c3094f78f0f63618d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560570" cy="235902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 xml:space="preserve">    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更为广为人知的应用无疑是知名的手机app“美图秀秀”。从中国、欧美再到日本，数亿用户掏出手机，举手自拍，转瞬间即化身成为生动可人、活灵活现、跃然“屏”上的二次元漫画人物，为人们的生活更添丰富多彩的一笔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综上观之，</w:t>
      </w:r>
      <w:r>
        <w:rPr>
          <w:rFonts w:ascii="黑体" w:cs="黑体" w:eastAsia="黑体" w:hAnsi="黑体" w:hint="eastAsia"/>
          <w:sz w:val="24"/>
          <w:szCs w:val="24"/>
        </w:rPr>
        <w:t>作为一种全新的技术生产要素,人工智能正在以前所未有的速度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重塑甚至创造</w:t>
      </w:r>
      <w:r>
        <w:rPr>
          <w:rFonts w:ascii="黑体" w:cs="黑体" w:eastAsia="黑体" w:hAnsi="黑体" w:hint="eastAsia"/>
          <w:sz w:val="24"/>
          <w:szCs w:val="24"/>
        </w:rPr>
        <w:t>着人类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对于艺术的</w:t>
      </w:r>
      <w:r>
        <w:rPr>
          <w:rFonts w:ascii="黑体" w:cs="黑体" w:eastAsia="黑体" w:hAnsi="黑体" w:hint="eastAsia"/>
          <w:sz w:val="24"/>
          <w:szCs w:val="24"/>
        </w:rPr>
        <w:t>思维认知</w:t>
      </w:r>
      <w:r>
        <w:rPr>
          <w:rFonts w:ascii="黑体" w:cs="黑体" w:eastAsia="黑体" w:hAnsi="黑体" w:hint="eastAsia"/>
          <w:sz w:val="24"/>
          <w:szCs w:val="24"/>
          <w:lang w:val="en-US" w:eastAsia="zh-CN"/>
        </w:rPr>
        <w:t>与创作方式，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艺术创作的人工智能时代已然到来</w:t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1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艺术创作发展观：人类将如何进行革新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人工智能能够通过算法创作书法、诗歌乃至绘画。这是否意味着，人工智能与人一样，有意识、有创造能力乃至有思想与情感？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sz w:val="21"/>
          <w:szCs w:val="21"/>
          <w:lang w:val="en-US" w:eastAsia="zh-CN"/>
        </w:rPr>
        <w:t>答案无异是否定的。从事人工智能研究的技术人员非常清楚，这些所谓的“艺术创作”，距离人类艺术家真正意义上的艺术创作仍然相去甚远。人类艺术或紧密结合人类真情实感，或者深刻反映历史的厚重久远，或者清晰折射社会现实，或者自由发挥艺术家天马行空的想象力.......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相比之下，人工智能基于算法的“艺术创作”，还停留在大量学习人类作品，基于对人类特定行为的模仿。与创作相比，模仿显然有明显差异。即便人工智能在艺术创作的基本原理上与人类并无二致，但是从当今人工智能算法的发展水平看来，“在可预见的未来，人工智能并无全面超越人类艺术家的可能”</w:t>
      </w:r>
      <w:r>
        <w:rPr>
          <w:rStyle w:val="style38"/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footnoteReference w:id="6"/>
      </w: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基于此，人工智能更多将在辅助层面上改革现阶段的艺术创作。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而对于人类艺术家，倘若一个人类艺术家不愿意投入时间与精力去感受当下的社会审美，仅仅将艺术创作停留在模仿先人的层面，那么他的工作在人工智能时代无疑岌岌可危。人工智能基于搭积木似的模仿方式可以大大提高“创作”效率，但是无法提现艺术本身承载的精神价值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从本质上讲，艺术是一个发现美感、体悟美感、表达美感的过程，而非仅仅停留在最终呈现的一个作品。AI的介入，无疑会大量减轻艺术家的工作量，又有利于大幅提高工作效率，从而使艺术家有更多的是时间与精力投入于对于美学价值的体悟上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可见，人工智能的华丽入场，不仅不会使人类艺术家失去价值，反而会进一步激发其创作能力。</w:t>
      </w:r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 w:firstLine="420" w:firstLineChars="20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总而言之，放眼人类社会，每一个渴望美学体验的个人皆应该积极拥抱人工智能技术，</w:t>
      </w:r>
      <w:bookmarkStart w:id="0" w:name="_GoBack"/>
      <w:bookmarkEnd w:id="0"/>
    </w:p>
    <w:p>
      <w:pPr>
        <w:pStyle w:val="style94"/>
        <w:keepNext w:val="false"/>
        <w:keepLines w:val="false"/>
        <w:pageBreakBefore w:val="false"/>
        <w:widowControl/>
        <w:numPr>
          <w:ilvl w:val="0"/>
          <w:numId w:val="0"/>
        </w:numPr>
        <w:suppressLineNumbers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beforeAutospacing="false" w:afterAutospacing="false"/>
        <w:ind w:right="0" w:rightChars="0"/>
        <w:textAlignment w:val="auto"/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</w:pPr>
      <w:r>
        <w:rPr>
          <w:rFonts w:ascii="黑体" w:cs="黑体" w:eastAsia="黑体" w:hAnsi="黑体" w:hint="eastAsia"/>
          <w:b w:val="false"/>
          <w:bCs w:val="false"/>
          <w:i w:val="false"/>
          <w:iCs w:val="false"/>
          <w:sz w:val="21"/>
          <w:szCs w:val="21"/>
          <w:lang w:val="en-US" w:eastAsia="zh-CN"/>
        </w:rPr>
        <w:t>助力人工智能带来新时代的“文艺复兴”。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方正舒体">
    <w:altName w:val="方正舒体"/>
    <w:panose1 w:val="02010601030000010101"/>
    <w:charset w:val="86"/>
    <w:family w:val="auto"/>
    <w:pitch w:val="default"/>
    <w:sig w:usb0="00000003" w:usb1="080E0000" w:usb2="00000000" w:usb3="00000000" w:csb0="00040000" w:csb1="00000000"/>
  </w:font>
  <w:font w:name="Calibri Light">
    <w:altName w:val="Calibri Light"/>
    <w:panose1 w:val="020f0302020000030204"/>
    <w:charset w:val="00"/>
    <w:family w:val="auto"/>
    <w:pitch w:val="default"/>
    <w:sig w:usb0="E4002EFF" w:usb1="C000247B" w:usb2="00000009" w:usb3="00000000" w:csb0="200001FF" w:csb1="00000000"/>
  </w:font>
  <w:font w:name="仿宋">
    <w:altName w:val="仿宋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方正姚体">
    <w:altName w:val="方正姚体"/>
    <w:panose1 w:val="02010601030000010101"/>
    <w:charset w:val="86"/>
    <w:family w:val="auto"/>
    <w:pitch w:val="default"/>
    <w:sig w:usb0="00000003" w:usb1="080E0000" w:usb2="00000000" w:usb3="00000000" w:csb0="00040000" w:csb1="00000000"/>
  </w:font>
  <w:font w:name="等线">
    <w:altName w:val="等线"/>
    <w:panose1 w:val="02010600030000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footnote w:id="1"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  <w:r>
        <w:rPr>
          <w:rStyle w:val="style38"/>
          <w:rFonts w:ascii="黑体" w:cs="黑体" w:eastAsia="黑体" w:hAnsi="黑体" w:hint="eastAsia"/>
          <w:sz w:val="15"/>
          <w:szCs w:val="15"/>
        </w:rPr>
        <w:footnoteRef/>
      </w:r>
      <w:r>
        <w:rPr>
          <w:rFonts w:ascii="黑体" w:cs="黑体" w:eastAsia="黑体" w:hAnsi="黑体" w:hint="eastAsia"/>
          <w:sz w:val="15"/>
          <w:szCs w:val="15"/>
        </w:rPr>
        <w:t xml:space="preserve"> Hugh Honour。《世界艺术史》A world history of art, 5th ed.。吴介祯等译。台湾：木马文化出版，2001。</w:t>
      </w:r>
    </w:p>
  </w:footnote>
  <w:footnote w:id="2"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  <w:r>
        <w:rPr>
          <w:rStyle w:val="style38"/>
          <w:rFonts w:ascii="黑体" w:cs="黑体" w:eastAsia="黑体" w:hAnsi="黑体" w:hint="eastAsia"/>
          <w:sz w:val="15"/>
          <w:szCs w:val="15"/>
        </w:rPr>
        <w:footnoteRef/>
      </w:r>
      <w:r>
        <w:rPr>
          <w:rFonts w:ascii="黑体" w:cs="黑体" w:eastAsia="黑体" w:hAnsi="黑体" w:hint="eastAsia"/>
          <w:sz w:val="15"/>
          <w:szCs w:val="15"/>
        </w:rPr>
        <w:t xml:space="preserve"> 杨易轩.人工智能在数字艺术创作中的应用与思考[J].声屏世界,2020(14):67-68.</w:t>
      </w:r>
    </w:p>
  </w:footnote>
  <w:footnote w:id="3"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  <w:r>
        <w:rPr>
          <w:rStyle w:val="style38"/>
          <w:rFonts w:ascii="黑体" w:cs="黑体" w:eastAsia="黑体" w:hAnsi="黑体" w:hint="eastAsia"/>
          <w:sz w:val="15"/>
          <w:szCs w:val="15"/>
        </w:rPr>
        <w:footnoteRef/>
      </w:r>
      <w:r>
        <w:rPr>
          <w:rFonts w:ascii="黑体" w:cs="黑体" w:eastAsia="黑体" w:hAnsi="黑体" w:hint="eastAsia"/>
          <w:sz w:val="15"/>
          <w:szCs w:val="15"/>
        </w:rPr>
        <w:t xml:space="preserve"> 银宇堃,陈洪,赵海英.人工智能在艺术设计中的应用[J].包装工程,2020,41(06):252-261.</w:t>
      </w:r>
    </w:p>
  </w:footnote>
  <w:footnote w:id="4"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  <w:r>
        <w:rPr>
          <w:rStyle w:val="style38"/>
          <w:rFonts w:ascii="黑体" w:cs="黑体" w:eastAsia="黑体" w:hAnsi="黑体" w:hint="eastAsia"/>
          <w:sz w:val="15"/>
          <w:szCs w:val="15"/>
        </w:rPr>
        <w:footnoteRef/>
      </w:r>
      <w:r>
        <w:rPr>
          <w:rFonts w:ascii="黑体" w:cs="黑体" w:eastAsia="黑体" w:hAnsi="黑体" w:hint="eastAsia"/>
          <w:sz w:val="15"/>
          <w:szCs w:val="15"/>
        </w:rPr>
        <w:t xml:space="preserve"> 王德清.阿里探路人工智能  用ET大脑搭建城市智能中枢[J].通信世界,2018(13):31.</w:t>
      </w:r>
    </w:p>
  </w:footnote>
  <w:footnote w:id="5"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  <w:r>
        <w:rPr>
          <w:rStyle w:val="style38"/>
          <w:rFonts w:ascii="黑体" w:cs="黑体" w:eastAsia="黑体" w:hAnsi="黑体" w:hint="eastAsia"/>
          <w:sz w:val="15"/>
          <w:szCs w:val="15"/>
        </w:rPr>
        <w:footnoteRef/>
      </w:r>
      <w:r>
        <w:rPr>
          <w:rFonts w:ascii="黑体" w:cs="黑体" w:eastAsia="黑体" w:hAnsi="黑体" w:hint="eastAsia"/>
          <w:sz w:val="15"/>
          <w:szCs w:val="15"/>
        </w:rPr>
        <w:t xml:space="preserve"> 刘朝谦,杨帆.人工智能软体“写诗”的文艺学思考[J].福建论坛(人文社会科学版),2020(02):155-167.</w:t>
      </w:r>
    </w:p>
    <w:p>
      <w:pPr>
        <w:pStyle w:val="style29"/>
        <w:snapToGrid w:val="false"/>
        <w:rPr>
          <w:rFonts w:ascii="黑体" w:cs="黑体" w:eastAsia="黑体" w:hAnsi="黑体" w:hint="eastAsia"/>
          <w:sz w:val="15"/>
          <w:szCs w:val="15"/>
        </w:rPr>
      </w:pPr>
    </w:p>
  </w:footnote>
  <w:footnote w:id="6">
    <w:p>
      <w:pPr>
        <w:pStyle w:val="style29"/>
        <w:snapToGrid w:val="false"/>
        <w:rPr>
          <w:rFonts w:hint="eastAsia"/>
        </w:rPr>
      </w:pPr>
      <w:r>
        <w:rPr>
          <w:rStyle w:val="style38"/>
        </w:rPr>
        <w:footnoteRef/>
      </w:r>
      <w:r>
        <w:t xml:space="preserve"> </w:t>
      </w:r>
      <w:r>
        <w:rPr>
          <w:rFonts w:hint="eastAsia"/>
        </w:rPr>
        <w:t>张海军.人工智能绘画的艺术性[J].文化月刊,2020(01):160-161.</w:t>
      </w:r>
    </w:p>
    <w:p>
      <w:pPr>
        <w:pStyle w:val="style29"/>
        <w:snapToGrid w:val="false"/>
        <w:rPr/>
      </w:pPr>
    </w:p>
    <w:p>
      <w:pPr>
        <w:pStyle w:val="style29"/>
        <w:snapToGrid w:val="false"/>
        <w:rPr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2D0AD2DA"/>
    <w:lvl w:ilvl="0">
      <w:start w:val="2"/>
      <w:numFmt w:val="chineseCounting"/>
      <w:suff w:val="nothing"/>
      <w:lvlText w:val="%1．"/>
      <w:lvlJc w:val="left"/>
      <w:pPr/>
      <w:rPr>
        <w:rFonts w:hint="eastAsia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7"/>
  <w:displayBackgroundShape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43">
    <w:name w:val="endnote text"/>
    <w:basedOn w:val="style0"/>
    <w:next w:val="style43"/>
    <w:qFormat/>
    <w:uiPriority w:val="0"/>
    <w:pPr>
      <w:snapToGrid w:val="false"/>
      <w:jc w:val="left"/>
    </w:pPr>
    <w:rPr/>
  </w:style>
  <w:style w:type="paragraph" w:styleId="style32">
    <w:name w:val="footer"/>
    <w:basedOn w:val="style0"/>
    <w:next w:val="style32"/>
    <w:qFormat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qFormat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29">
    <w:name w:val="footnote text"/>
    <w:basedOn w:val="style0"/>
    <w:next w:val="style29"/>
    <w:qFormat/>
    <w:uiPriority w:val="0"/>
    <w:pPr>
      <w:snapToGrid w:val="false"/>
      <w:jc w:val="left"/>
    </w:pPr>
    <w:rPr>
      <w:sz w:val="18"/>
    </w:rPr>
  </w:style>
  <w:style w:type="paragraph" w:styleId="style94">
    <w:name w:val="Normal (Web)"/>
    <w:basedOn w:val="style0"/>
    <w:next w:val="style94"/>
    <w:qFormat/>
    <w:uiPriority w:val="0"/>
    <w:pPr>
      <w:spacing w:before="0" w:beforeAutospacing="true" w:after="0" w:afterAutospacing="true"/>
      <w:ind w:left="0" w:right="0"/>
      <w:jc w:val="left"/>
    </w:pPr>
    <w:rPr>
      <w:kern w:val="0"/>
      <w:sz w:val="24"/>
      <w:lang w:val="en-US" w:eastAsia="zh-CN"/>
    </w:rPr>
  </w:style>
  <w:style w:type="character" w:styleId="style42">
    <w:name w:val="endnote reference"/>
    <w:basedOn w:val="style65"/>
    <w:next w:val="style42"/>
    <w:qFormat/>
    <w:uiPriority w:val="0"/>
    <w:rPr>
      <w:vertAlign w:val="superscript"/>
    </w:rPr>
  </w:style>
  <w:style w:type="character" w:styleId="style85">
    <w:name w:val="Hyperlink"/>
    <w:basedOn w:val="style65"/>
    <w:next w:val="style85"/>
    <w:qFormat/>
    <w:uiPriority w:val="0"/>
    <w:rPr>
      <w:color w:val="0000ff"/>
      <w:u w:val="single"/>
    </w:rPr>
  </w:style>
  <w:style w:type="character" w:styleId="style38">
    <w:name w:val="footnote reference"/>
    <w:basedOn w:val="style65"/>
    <w:next w:val="style38"/>
    <w:qFormat/>
    <w:uiPriority w:val="0"/>
    <w:rPr>
      <w:vertAlign w:val="superscript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footnotes" Target="footnotes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Words>2564</Words>
  <Pages>1</Pages>
  <Characters>2891</Characters>
  <Application>WPS Office</Application>
  <DocSecurity>0</DocSecurity>
  <Paragraphs>36</Paragraphs>
  <ScaleCrop>false</ScaleCrop>
  <LinksUpToDate>false</LinksUpToDate>
  <CharactersWithSpaces>2966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2020-10-20T11:08:00Z</dcterms:created>
  <dc:creator>zhaochen20</dc:creator>
  <lastModifiedBy>MRX-W29</lastModifiedBy>
  <dcterms:modified xsi:type="dcterms:W3CDTF">2020-11-02T06:38:28Z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