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5b9bd5"/>
  <w:body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firstLine="42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 xml:space="preserve">    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 xml:space="preserve">              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浅析人工智能时代艺术创作的革新</w:t>
      </w:r>
    </w:p>
    <w:p>
      <w:pPr>
        <w:pStyle w:val="style94"/>
        <w:keepNext w:val="false"/>
        <w:keepLines w:val="false"/>
        <w:pageBreakBefore w:val="false"/>
        <w:widowControl/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left="420" w:leftChars="200" w:firstLine="420" w:firstLineChars="200"/>
        <w:textAlignment w:val="auto"/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</w:rPr>
        <w:t>艺术</w:t>
      </w:r>
      <w:r>
        <w:rPr>
          <w:rFonts w:ascii="仿宋" w:cs="仿宋" w:hAnsi="仿宋" w:hint="default"/>
          <w:b w:val="false"/>
          <w:bCs w:val="false"/>
          <w:i w:val="false"/>
          <w:iCs w:val="false"/>
          <w:sz w:val="21"/>
          <w:szCs w:val="21"/>
          <w:lang w:val="en-US"/>
        </w:rPr>
        <w:t>泛指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</w:rPr>
        <w:t>指凭借技巧、意愿、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想象力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</w:rPr>
        <w:t>、经验等综合人为因素的融合与平衡，以创作隐含美学的器物、环境、影像、动作或声音</w:t>
      </w:r>
      <w:r>
        <w:rPr>
          <w:rFonts w:ascii="仿宋" w:cs="仿宋" w:eastAsia="仿宋" w:hAnsi="仿宋" w:hint="default"/>
          <w:b w:val="false"/>
          <w:bCs w:val="false"/>
          <w:i w:val="false"/>
          <w:iCs w:val="false"/>
          <w:sz w:val="21"/>
          <w:szCs w:val="21"/>
          <w:lang w:val="en-US"/>
        </w:rPr>
        <w:t>等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</w:rPr>
        <w:t>，也指</w:t>
      </w:r>
      <w:r>
        <w:rPr>
          <w:rFonts w:ascii="仿宋" w:cs="仿宋" w:eastAsia="仿宋" w:hAnsi="仿宋" w:hint="default"/>
          <w:b w:val="false"/>
          <w:bCs w:val="false"/>
          <w:i w:val="false"/>
          <w:iCs w:val="false"/>
          <w:sz w:val="21"/>
          <w:szCs w:val="21"/>
          <w:lang w:val="en-US"/>
        </w:rPr>
        <w:t>与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</w:rPr>
        <w:t>他人分享美的感觉或有深意的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情感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</w:rPr>
        <w:t>与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意识</w:t>
      </w:r>
      <w:r>
        <w:rPr>
          <w:rFonts w:ascii="仿宋" w:cs="仿宋" w:eastAsia="仿宋" w:hAnsi="仿宋" w:hint="default"/>
          <w:b w:val="false"/>
          <w:bCs w:val="false"/>
          <w:i w:val="false"/>
          <w:iCs w:val="false"/>
          <w:sz w:val="21"/>
          <w:szCs w:val="21"/>
          <w:lang w:val="en-US" w:eastAsia="zh-CN"/>
        </w:rPr>
        <w:t>，以此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</w:rPr>
        <w:t>表达既有感知</w:t>
      </w:r>
      <w:r>
        <w:rPr>
          <w:rFonts w:ascii="仿宋" w:cs="仿宋" w:eastAsia="仿宋" w:hAnsi="仿宋" w:hint="default"/>
          <w:b w:val="false"/>
          <w:bCs w:val="false"/>
          <w:i w:val="false"/>
          <w:iCs w:val="false"/>
          <w:sz w:val="21"/>
          <w:szCs w:val="21"/>
          <w:lang w:val="en-US"/>
        </w:rPr>
        <w:t>并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</w:rPr>
        <w:t>将个人</w:t>
      </w:r>
      <w:r>
        <w:rPr>
          <w:rFonts w:ascii="仿宋" w:cs="仿宋" w:eastAsia="仿宋" w:hAnsi="仿宋" w:hint="default"/>
          <w:b w:val="false"/>
          <w:bCs w:val="false"/>
          <w:i w:val="false"/>
          <w:iCs w:val="false"/>
          <w:sz w:val="21"/>
          <w:szCs w:val="21"/>
          <w:lang w:val="en-US"/>
        </w:rPr>
        <w:t>乃至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</w:rPr>
        <w:t>群体</w:t>
      </w:r>
      <w:r>
        <w:rPr>
          <w:rFonts w:ascii="仿宋" w:cs="仿宋" w:eastAsia="仿宋" w:hAnsi="仿宋" w:hint="default"/>
          <w:b w:val="false"/>
          <w:bCs w:val="false"/>
          <w:i w:val="false"/>
          <w:iCs w:val="false"/>
          <w:sz w:val="21"/>
          <w:szCs w:val="21"/>
          <w:lang w:val="en-US"/>
        </w:rPr>
        <w:t>的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</w:rPr>
        <w:t>体验沉淀</w:t>
      </w:r>
      <w:r>
        <w:rPr>
          <w:rFonts w:ascii="仿宋" w:cs="仿宋" w:eastAsia="仿宋" w:hAnsi="仿宋" w:hint="default"/>
          <w:b w:val="false"/>
          <w:bCs w:val="false"/>
          <w:i w:val="false"/>
          <w:iCs w:val="false"/>
          <w:sz w:val="21"/>
          <w:szCs w:val="21"/>
          <w:lang w:val="en-US"/>
        </w:rPr>
        <w:t>并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</w:rPr>
        <w:t>展现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  <w:lang w:eastAsia="zh-CN"/>
        </w:rPr>
        <w:t>。</w:t>
      </w:r>
      <w:r>
        <w:rPr>
          <w:rStyle w:val="style38"/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</w:rPr>
        <w:footnoteReference w:id="1"/>
      </w:r>
      <w:r>
        <w:rPr>
          <w:rFonts w:ascii="仿宋" w:cs="仿宋" w:eastAsia="仿宋" w:hAnsi="仿宋" w:hint="default"/>
          <w:b w:val="false"/>
          <w:bCs w:val="false"/>
          <w:i w:val="false"/>
          <w:iCs w:val="false"/>
          <w:sz w:val="21"/>
          <w:szCs w:val="21"/>
          <w:lang w:val="en-US" w:eastAsia="zh-CN"/>
        </w:rPr>
        <w:t>与此同时，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人工智能</w:t>
      </w:r>
      <w:r>
        <w:rPr>
          <w:rFonts w:ascii="仿宋" w:cs="仿宋" w:eastAsia="仿宋" w:hAnsi="仿宋" w:hint="default"/>
          <w:b w:val="false"/>
          <w:bCs w:val="false"/>
          <w:i w:val="false"/>
          <w:iCs w:val="false"/>
          <w:sz w:val="21"/>
          <w:szCs w:val="21"/>
          <w:lang w:val="en-US" w:eastAsia="zh-CN"/>
        </w:rPr>
        <w:t>作为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计算机科学的一个分支，是指使用计算机代替人类实现认知、识别、分析、决策等功能的</w:t>
      </w:r>
      <w:r>
        <w:rPr>
          <w:rFonts w:ascii="仿宋" w:cs="仿宋" w:eastAsia="仿宋" w:hAnsi="仿宋" w:hint="default"/>
          <w:b w:val="false"/>
          <w:bCs w:val="false"/>
          <w:i w:val="false"/>
          <w:iCs w:val="false"/>
          <w:sz w:val="21"/>
          <w:szCs w:val="21"/>
          <w:lang w:val="en-US" w:eastAsia="zh-CN"/>
        </w:rPr>
        <w:t>一系列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技术，其本质是开发和模拟人的意识与思维的信息的过程。</w:t>
      </w:r>
      <w:r>
        <w:rPr>
          <w:rStyle w:val="style38"/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footnoteReference w:id="2"/>
      </w:r>
    </w:p>
    <w:p>
      <w:pPr>
        <w:pStyle w:val="style94"/>
        <w:keepNext w:val="false"/>
        <w:keepLines w:val="false"/>
        <w:pageBreakBefore w:val="false"/>
        <w:widowControl/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left="420" w:leftChars="200" w:firstLine="42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仿宋" w:cs="仿宋" w:eastAsia="仿宋" w:hAnsi="仿宋" w:hint="default"/>
          <w:b w:val="false"/>
          <w:bCs w:val="false"/>
          <w:i w:val="false"/>
          <w:iCs w:val="false"/>
          <w:sz w:val="21"/>
          <w:szCs w:val="21"/>
          <w:lang w:val="en-US"/>
        </w:rPr>
        <w:t>作为人类高度凝练的美学体验载体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在人工智能全速重塑社会各行各业的当下，</w:t>
      </w:r>
    </w:p>
    <w:p>
      <w:pPr>
        <w:pStyle w:val="style94"/>
        <w:keepNext w:val="false"/>
        <w:keepLines w:val="false"/>
        <w:pageBreakBefore w:val="false"/>
        <w:widowControl/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firstLine="42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 xml:space="preserve"> </w:t>
      </w:r>
    </w:p>
    <w:p>
      <w:pPr>
        <w:pStyle w:val="style94"/>
        <w:keepNext w:val="false"/>
        <w:keepLines w:val="false"/>
        <w:pageBreakBefore w:val="false"/>
        <w:widowControl/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firstLine="42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一．艺术具有鲜明的时代性：艺术创作的人工智能时代已然到来</w:t>
      </w:r>
    </w:p>
    <w:p>
      <w:pPr>
        <w:pStyle w:val="style94"/>
        <w:keepNext w:val="false"/>
        <w:keepLines w:val="false"/>
        <w:pageBreakBefore w:val="false"/>
        <w:widowControl/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firstLine="48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4"/>
          <w:szCs w:val="24"/>
          <w:lang w:val="en-US" w:eastAsia="zh-CN"/>
        </w:rPr>
        <w:t>艺术脱胎于其特定的时代背景。唐诗宋词元曲是中国古代的艺术；以牛顿力学为基础的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自然科学是工业时代的艺术；以信息技术为基础的计算机科学是信息时代的艺术。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大多受众的观点认为，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“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目前的人工智能更擅长从大量数据中发现规律，帮助人类完成那些仅仅简单思考就可做出决策的重复性工作，而人类相对人工智能的优势就是，人类知情感、明善恶、懂美丑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，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更善于从事创造性要求极高的艺术创作工作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”。</w:t>
      </w:r>
      <w:r>
        <w:rPr>
          <w:rStyle w:val="style38"/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footnoteReference w:id="3"/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然而这只是从普遍规律的角度，来区分人工智能与人类智能的不同。实际上，现阶段的人工智能已然能够进行令人“刮目相看”的艺术创作。从互联网时代到AI时代，人机交互的方式更为自然，媒介愈加多元化。经过AI与VR的助力，艺术也将更加多元化、更富创造力。人工智能，正在全速改变着艺术创作的方方面面，艺术创作的人工智能时代已然到来。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以下举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三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例论述。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2017年春节前夕，阿里巴巴在公司的西溪园区展示了能够自动创作春联的机器人——阿里云人工智能ET。ET不仅会更具之前学习的书法风格，现场挥毫泼墨，而且创作的春联内容，也是由人工智能算法根据人类实验者的具体要求，现场创作而成。既能写出颇具传统特色的春联“九州天空花锦绣，未央云淡人泰康”，也可写出调侃色彩浓厚的春联“貌赛西溪吴彦祖，才及阿里陈清扬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。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”</w:t>
      </w:r>
      <w:r>
        <w:rPr>
          <w:rStyle w:val="style38"/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footnoteReference w:id="4"/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用人工智能进行诗歌创作，也是人工智能领域长期的研究方向。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2016年，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谷歌的工程师让人工智能学习了2865首爱情小说，然后人工智能通过机器学习，习得了英语诗歌创作的基本格式，接下来，人工智能真的创作了许多情感小诗。这些小诗，颇具多愁善感意味，隐约流露着两千多篇爱情小说里，为了爱情辗转反侧的主人公们辗转反侧的微妙情愫。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“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比如下面这首小诗：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</w:rPr>
        <w:t>「it made me want to cry／no one had seen him since.／it made me feel uneasy.／no one had seen him.／the thought made me smile.／the pain was unbearable.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 xml:space="preserve">/ 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</w:rPr>
        <w:t>the crowd was silent.／the man called out.／the old man said.／the man asked.」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谷歌</w:t>
      </w:r>
      <w:r>
        <w:rPr>
          <w:rFonts w:ascii="黑体" w:cs="黑体" w:eastAsia="黑体" w:hAnsi="黑体" w:hint="eastAsia"/>
          <w:sz w:val="21"/>
          <w:szCs w:val="21"/>
        </w:rPr>
        <w:t>为训练机器“吟诗”，</w:t>
      </w:r>
      <w:r>
        <w:rPr>
          <w:rFonts w:ascii="黑体" w:cs="黑体" w:eastAsia="黑体" w:hAnsi="黑体" w:hint="eastAsia"/>
          <w:sz w:val="21"/>
          <w:szCs w:val="21"/>
          <w:lang w:val="en-US" w:eastAsia="zh-CN"/>
        </w:rPr>
        <w:t>甚至又</w:t>
      </w:r>
      <w:r>
        <w:rPr>
          <w:rFonts w:ascii="黑体" w:cs="黑体" w:eastAsia="黑体" w:hAnsi="黑体" w:hint="eastAsia"/>
          <w:sz w:val="21"/>
          <w:szCs w:val="21"/>
        </w:rPr>
        <w:t>从350万诗句中抽取了120万个诗句去训练机器，输入</w:t>
      </w:r>
      <w:r>
        <w:rPr>
          <w:rFonts w:ascii="黑体" w:cs="黑体" w:eastAsia="黑体" w:hAnsi="黑体" w:hint="eastAsia"/>
          <w:sz w:val="21"/>
          <w:szCs w:val="21"/>
          <w:lang w:eastAsia="zh-CN"/>
        </w:rPr>
        <w:t>‘</w:t>
      </w:r>
      <w:r>
        <w:rPr>
          <w:rFonts w:ascii="黑体" w:cs="黑体" w:eastAsia="黑体" w:hAnsi="黑体" w:hint="eastAsia"/>
          <w:sz w:val="21"/>
          <w:szCs w:val="21"/>
        </w:rPr>
        <w:t>春</w:t>
      </w:r>
      <w:r>
        <w:rPr>
          <w:rFonts w:ascii="黑体" w:cs="黑体" w:eastAsia="黑体" w:hAnsi="黑体" w:hint="eastAsia"/>
          <w:sz w:val="21"/>
          <w:szCs w:val="21"/>
          <w:lang w:eastAsia="zh-CN"/>
        </w:rPr>
        <w:t>’</w:t>
      </w:r>
      <w:r>
        <w:rPr>
          <w:rFonts w:ascii="黑体" w:cs="黑体" w:eastAsia="黑体" w:hAnsi="黑体" w:hint="eastAsia"/>
          <w:sz w:val="21"/>
          <w:szCs w:val="21"/>
        </w:rPr>
        <w:t>、</w:t>
      </w:r>
      <w:r>
        <w:rPr>
          <w:rFonts w:ascii="黑体" w:cs="黑体" w:eastAsia="黑体" w:hAnsi="黑体" w:hint="eastAsia"/>
          <w:sz w:val="21"/>
          <w:szCs w:val="21"/>
          <w:lang w:eastAsia="zh-CN"/>
        </w:rPr>
        <w:t>‘</w:t>
      </w:r>
      <w:r>
        <w:rPr>
          <w:rFonts w:ascii="黑体" w:cs="黑体" w:eastAsia="黑体" w:hAnsi="黑体" w:hint="eastAsia"/>
          <w:sz w:val="21"/>
          <w:szCs w:val="21"/>
        </w:rPr>
        <w:t>琵琶</w:t>
      </w:r>
      <w:r>
        <w:rPr>
          <w:rFonts w:ascii="黑体" w:cs="黑体" w:eastAsia="黑体" w:hAnsi="黑体" w:hint="eastAsia"/>
          <w:sz w:val="21"/>
          <w:szCs w:val="21"/>
          <w:lang w:eastAsia="zh-CN"/>
        </w:rPr>
        <w:t>’</w:t>
      </w:r>
      <w:r>
        <w:rPr>
          <w:rFonts w:ascii="黑体" w:cs="黑体" w:eastAsia="黑体" w:hAnsi="黑体" w:hint="eastAsia"/>
          <w:sz w:val="21"/>
          <w:szCs w:val="21"/>
        </w:rPr>
        <w:t>、</w:t>
      </w:r>
      <w:r>
        <w:rPr>
          <w:rFonts w:ascii="黑体" w:cs="黑体" w:eastAsia="黑体" w:hAnsi="黑体" w:hint="eastAsia"/>
          <w:sz w:val="21"/>
          <w:szCs w:val="21"/>
          <w:lang w:eastAsia="zh-CN"/>
        </w:rPr>
        <w:t>‘</w:t>
      </w:r>
      <w:r>
        <w:rPr>
          <w:rFonts w:ascii="黑体" w:cs="黑体" w:eastAsia="黑体" w:hAnsi="黑体" w:hint="eastAsia"/>
          <w:sz w:val="21"/>
          <w:szCs w:val="21"/>
        </w:rPr>
        <w:t>醉</w:t>
      </w:r>
      <w:r>
        <w:rPr>
          <w:rFonts w:ascii="黑体" w:cs="黑体" w:eastAsia="黑体" w:hAnsi="黑体" w:hint="eastAsia"/>
          <w:sz w:val="21"/>
          <w:szCs w:val="21"/>
          <w:lang w:eastAsia="zh-CN"/>
        </w:rPr>
        <w:t>’</w:t>
      </w:r>
      <w:r>
        <w:rPr>
          <w:rFonts w:ascii="黑体" w:cs="黑体" w:eastAsia="黑体" w:hAnsi="黑体" w:hint="eastAsia"/>
          <w:sz w:val="21"/>
          <w:szCs w:val="21"/>
        </w:rPr>
        <w:t>等关键词和平仄要求，于是作出了这样一首绝句：「双眸剪秋水，一手弹春风；歌尽琵琶怨，醉来入梦中。」</w:t>
      </w:r>
      <w:r>
        <w:rPr>
          <w:rFonts w:ascii="黑体" w:cs="黑体" w:eastAsia="黑体" w:hAnsi="黑体" w:hint="eastAsia"/>
          <w:sz w:val="21"/>
          <w:szCs w:val="21"/>
          <w:lang w:eastAsia="zh-CN"/>
        </w:rPr>
        <w:t>”</w:t>
      </w:r>
      <w:r>
        <w:rPr>
          <w:rStyle w:val="style38"/>
          <w:rFonts w:ascii="黑体" w:cs="黑体" w:eastAsia="黑体" w:hAnsi="黑体" w:hint="eastAsia"/>
          <w:sz w:val="21"/>
          <w:szCs w:val="21"/>
        </w:rPr>
        <w:footnoteReference w:id="5"/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sz w:val="21"/>
          <w:szCs w:val="21"/>
          <w:lang w:val="en-US" w:eastAsia="zh-CN"/>
        </w:rPr>
        <w:t>书法、春联、诗歌仿佛与大众文艺仍然有一定距离。然而实际上，人工智能艺术创作早已走进大众生活，其早已广泛应用于相片处理。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sz w:val="21"/>
          <w:szCs w:val="21"/>
          <w:lang w:val="en-US" w:eastAsia="zh-CN"/>
        </w:rPr>
        <w:t>2016年夏天，一款名为Prisma的相片处理程序在互联网社会走红。其创作历程，可以比喻为一名技艺精湛的画师，对照片进行联想与重塑。Prisma画师，曾经接受过系统的美学与艺术教育，临摹过数以万记的大师名作，精通各式油画、水彩画、漫画乃至中国国画技法，并通过算法构筑出绚丽多彩的艺术天地。例如如下绘画作品，仿佛是梵高著名画作《星空》的再现。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sz w:val="21"/>
          <w:szCs w:val="21"/>
          <w:lang w:val="en-US" w:eastAsia="zh-CN"/>
        </w:rPr>
        <w:drawing>
          <wp:inline distL="0" distT="0" distB="0" distR="0">
            <wp:extent cx="4560570" cy="2359025"/>
            <wp:effectExtent l="0" t="0" r="11430" b="3175"/>
            <wp:docPr id="1027" name="图片 1" descr="83025aafa40f4bfbf78177c3094f78f0f63618d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60570" cy="23590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黑体" w:cs="黑体" w:eastAsia="黑体" w:hAnsi="黑体" w:hint="eastAsia"/>
          <w:sz w:val="21"/>
          <w:szCs w:val="21"/>
          <w:lang w:val="en-US" w:eastAsia="zh-CN"/>
        </w:rPr>
        <w:t xml:space="preserve">    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sz w:val="21"/>
          <w:szCs w:val="21"/>
          <w:lang w:val="en-US" w:eastAsia="zh-CN"/>
        </w:rPr>
        <w:t>更为广为人知的应用无疑是知名的手机app“美图秀秀”。从中国、欧美再到日本，数亿用户掏出手机，举手自拍，转瞬间即化身成为生动可人、活灵活现、跃然“屏”上的二次元漫画人物，为人们的生活更添丰富多彩的一笔。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sz w:val="21"/>
          <w:szCs w:val="21"/>
          <w:lang w:val="en-US" w:eastAsia="zh-CN"/>
        </w:rPr>
        <w:t>综上观之，</w:t>
      </w:r>
      <w:r>
        <w:rPr>
          <w:rFonts w:ascii="黑体" w:cs="黑体" w:eastAsia="黑体" w:hAnsi="黑体" w:hint="eastAsia"/>
          <w:sz w:val="24"/>
          <w:szCs w:val="24"/>
        </w:rPr>
        <w:t>作为一种全新的技术生产要素,人工智能正在以前所未有的速度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重塑甚至创造</w:t>
      </w:r>
      <w:r>
        <w:rPr>
          <w:rFonts w:ascii="黑体" w:cs="黑体" w:eastAsia="黑体" w:hAnsi="黑体" w:hint="eastAsia"/>
          <w:sz w:val="24"/>
          <w:szCs w:val="24"/>
        </w:rPr>
        <w:t>着人类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对于艺术的</w:t>
      </w:r>
      <w:r>
        <w:rPr>
          <w:rFonts w:ascii="黑体" w:cs="黑体" w:eastAsia="黑体" w:hAnsi="黑体" w:hint="eastAsia"/>
          <w:sz w:val="24"/>
          <w:szCs w:val="24"/>
        </w:rPr>
        <w:t>思维认知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与创作方式，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艺术创作的人工智能时代已然到来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。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1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sz w:val="21"/>
          <w:szCs w:val="21"/>
          <w:lang w:val="en-US" w:eastAsia="zh-CN"/>
        </w:rPr>
        <w:t>艺术创作发展观：人类将如何进行革新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sz w:val="21"/>
          <w:szCs w:val="21"/>
          <w:lang w:val="en-US" w:eastAsia="zh-CN"/>
        </w:rPr>
        <w:t>人工智能能够通过算法创作书法、诗歌乃至绘画。这是否意味着，人工智能与人一样，有意识、有创造能力乃至有思想与情感？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sz w:val="21"/>
          <w:szCs w:val="21"/>
          <w:lang w:val="en-US" w:eastAsia="zh-CN"/>
        </w:rPr>
        <w:t>答案无异是否定的。从事人工智能研究的技术人员非常清楚，这些所谓的“艺术创作”，距离人类艺术家真正意义上的艺术创作仍然相去甚远。人类艺术或紧密结合人类真情实感，或者深刻反映历史的厚重久远，或者清晰折射社会现实，或者自由发挥艺术家天马行空的想象力.......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相比之下，人工智能基于算法的“艺术创作”，还停留在大量学习人类作品，基于对人类特定行为的模仿。与创作相比，模仿显然有明显差异。即便人工智能在艺术创作的基本原理上与人类并无二致，但是从当今人工智能算法的发展水平看来，“在可预见的未来，人工智能并无全面超越人类艺术家的可能”</w:t>
      </w:r>
      <w:r>
        <w:rPr>
          <w:rStyle w:val="style38"/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footnoteReference w:id="6"/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。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基于此，人工智能更多将在辅助层面上改革现阶段的艺术创作。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而对于人类艺术家，倘若一个人类艺术家不愿意投入时间与精力去感受当下的社会审美，仅仅将艺术创作停留在模仿先人的层面，那么他的工作在人工智能时代无疑岌岌可危。人工智能基于搭积木似的模仿方式可以大大提高“创作”效率，但是无法提现艺术本身承载的精神价值。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从本质上讲，艺术是一个发现美感、体悟美感、表达美感的过程，而非仅仅停留在最终呈现的一个作品。AI的介入，无疑会大量减轻艺术家的工作量，又有利于大幅提高工作效率，从而使艺术家有更多的是时间与精力投入于对于美学价值的体悟上。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可见，人工智能的华丽入场，不仅不会使人类艺术家失去价值，反而会进一步激发其创作能力。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总而言之，放眼人类社会，每一个渴望美学体验的个人皆应该积极拥抱人工智能技术，</w:t>
      </w:r>
      <w:bookmarkStart w:id="0" w:name="_GoBack"/>
      <w:bookmarkEnd w:id="0"/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助力人工智能带来新时代的“文艺复兴”。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方正舒体">
    <w:altName w:val="方正舒体"/>
    <w:panose1 w:val="02010601030001010101"/>
    <w:charset w:val="86"/>
    <w:family w:val="auto"/>
    <w:pitch w:val="default"/>
    <w:sig w:usb0="00000003" w:usb1="080E0000" w:usb2="00000000" w:usb3="00000000" w:csb0="00040000" w:csb1="00000000"/>
  </w:font>
  <w:font w:name="Calibri Light">
    <w:altName w:val="Calibri Light"/>
    <w:panose1 w:val="020f0302020002030204"/>
    <w:charset w:val="00"/>
    <w:family w:val="auto"/>
    <w:pitch w:val="default"/>
    <w:sig w:usb0="E4002EFF" w:usb1="C000247B" w:usb2="00000009" w:usb3="00000000" w:csb0="200001FF" w:csb1="00000000"/>
  </w:font>
  <w:font w:name="仿宋">
    <w:altName w:val="仿宋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方正姚体">
    <w:altName w:val="方正姚体"/>
    <w:panose1 w:val="02010601030001010101"/>
    <w:charset w:val="86"/>
    <w:family w:val="auto"/>
    <w:pitch w:val="default"/>
    <w:sig w:usb0="00000003" w:usb1="080E0000" w:usb2="00000000" w:usb3="00000000" w:csb0="00040000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footnote w:id="1">
    <w:p>
      <w:pPr>
        <w:pStyle w:val="style29"/>
        <w:snapToGrid w:val="false"/>
        <w:rPr>
          <w:rFonts w:ascii="黑体" w:cs="黑体" w:eastAsia="黑体" w:hAnsi="黑体" w:hint="eastAsia"/>
          <w:sz w:val="15"/>
          <w:szCs w:val="15"/>
        </w:rPr>
      </w:pPr>
      <w:r>
        <w:rPr>
          <w:rStyle w:val="style38"/>
          <w:rFonts w:ascii="黑体" w:cs="黑体" w:eastAsia="黑体" w:hAnsi="黑体" w:hint="eastAsia"/>
          <w:sz w:val="15"/>
          <w:szCs w:val="15"/>
        </w:rPr>
        <w:footnoteRef/>
      </w:r>
      <w:r>
        <w:rPr>
          <w:rFonts w:ascii="黑体" w:cs="黑体" w:eastAsia="黑体" w:hAnsi="黑体" w:hint="eastAsia"/>
          <w:sz w:val="15"/>
          <w:szCs w:val="15"/>
        </w:rPr>
        <w:t xml:space="preserve"> Hugh Honour。《世界艺术史》A world history of art, 5th ed.。吴介祯等译。台湾：木马文化出版，2001。</w:t>
      </w:r>
    </w:p>
  </w:footnote>
  <w:footnote w:id="2">
    <w:p>
      <w:pPr>
        <w:pStyle w:val="style29"/>
        <w:snapToGrid w:val="false"/>
        <w:rPr>
          <w:rFonts w:ascii="黑体" w:cs="黑体" w:eastAsia="黑体" w:hAnsi="黑体" w:hint="eastAsia"/>
          <w:sz w:val="15"/>
          <w:szCs w:val="15"/>
        </w:rPr>
      </w:pPr>
      <w:r>
        <w:rPr>
          <w:rStyle w:val="style38"/>
          <w:rFonts w:ascii="黑体" w:cs="黑体" w:eastAsia="黑体" w:hAnsi="黑体" w:hint="eastAsia"/>
          <w:sz w:val="15"/>
          <w:szCs w:val="15"/>
        </w:rPr>
        <w:footnoteRef/>
      </w:r>
      <w:r>
        <w:rPr>
          <w:rFonts w:ascii="黑体" w:cs="黑体" w:eastAsia="黑体" w:hAnsi="黑体" w:hint="eastAsia"/>
          <w:sz w:val="15"/>
          <w:szCs w:val="15"/>
        </w:rPr>
        <w:t xml:space="preserve"> 杨易轩.人工智能在数字艺术创作中的应用与思考[J].声屏世界,2020(14):67-68.</w:t>
      </w:r>
    </w:p>
  </w:footnote>
  <w:footnote w:id="3">
    <w:p>
      <w:pPr>
        <w:pStyle w:val="style29"/>
        <w:snapToGrid w:val="false"/>
        <w:rPr>
          <w:rFonts w:ascii="黑体" w:cs="黑体" w:eastAsia="黑体" w:hAnsi="黑体" w:hint="eastAsia"/>
          <w:sz w:val="15"/>
          <w:szCs w:val="15"/>
        </w:rPr>
      </w:pPr>
      <w:r>
        <w:rPr>
          <w:rStyle w:val="style38"/>
          <w:rFonts w:ascii="黑体" w:cs="黑体" w:eastAsia="黑体" w:hAnsi="黑体" w:hint="eastAsia"/>
          <w:sz w:val="15"/>
          <w:szCs w:val="15"/>
        </w:rPr>
        <w:footnoteRef/>
      </w:r>
      <w:r>
        <w:rPr>
          <w:rFonts w:ascii="黑体" w:cs="黑体" w:eastAsia="黑体" w:hAnsi="黑体" w:hint="eastAsia"/>
          <w:sz w:val="15"/>
          <w:szCs w:val="15"/>
        </w:rPr>
        <w:t xml:space="preserve"> 银宇堃,陈洪,赵海英.人工智能在艺术设计中的应用[J].包装工程,2020,41(06):252-261.</w:t>
      </w:r>
    </w:p>
  </w:footnote>
  <w:footnote w:id="4">
    <w:p>
      <w:pPr>
        <w:pStyle w:val="style29"/>
        <w:snapToGrid w:val="false"/>
        <w:rPr>
          <w:rFonts w:ascii="黑体" w:cs="黑体" w:eastAsia="黑体" w:hAnsi="黑体" w:hint="eastAsia"/>
          <w:sz w:val="15"/>
          <w:szCs w:val="15"/>
        </w:rPr>
      </w:pPr>
      <w:r>
        <w:rPr>
          <w:rStyle w:val="style38"/>
          <w:rFonts w:ascii="黑体" w:cs="黑体" w:eastAsia="黑体" w:hAnsi="黑体" w:hint="eastAsia"/>
          <w:sz w:val="15"/>
          <w:szCs w:val="15"/>
        </w:rPr>
        <w:footnoteRef/>
      </w:r>
      <w:r>
        <w:rPr>
          <w:rFonts w:ascii="黑体" w:cs="黑体" w:eastAsia="黑体" w:hAnsi="黑体" w:hint="eastAsia"/>
          <w:sz w:val="15"/>
          <w:szCs w:val="15"/>
        </w:rPr>
        <w:t xml:space="preserve"> 王德清.阿里探路人工智能  用ET大脑搭建城市智能中枢[J].通信世界,2018(13):31.</w:t>
      </w:r>
    </w:p>
  </w:footnote>
  <w:footnote w:id="5">
    <w:p>
      <w:pPr>
        <w:pStyle w:val="style29"/>
        <w:snapToGrid w:val="false"/>
        <w:rPr>
          <w:rFonts w:ascii="黑体" w:cs="黑体" w:eastAsia="黑体" w:hAnsi="黑体" w:hint="eastAsia"/>
          <w:sz w:val="15"/>
          <w:szCs w:val="15"/>
        </w:rPr>
      </w:pPr>
      <w:r>
        <w:rPr>
          <w:rStyle w:val="style38"/>
          <w:rFonts w:ascii="黑体" w:cs="黑体" w:eastAsia="黑体" w:hAnsi="黑体" w:hint="eastAsia"/>
          <w:sz w:val="15"/>
          <w:szCs w:val="15"/>
        </w:rPr>
        <w:footnoteRef/>
      </w:r>
      <w:r>
        <w:rPr>
          <w:rFonts w:ascii="黑体" w:cs="黑体" w:eastAsia="黑体" w:hAnsi="黑体" w:hint="eastAsia"/>
          <w:sz w:val="15"/>
          <w:szCs w:val="15"/>
        </w:rPr>
        <w:t xml:space="preserve"> 刘朝谦,杨帆.人工智能软体“写诗”的文艺学思考[J].福建论坛(人文社会科学版),2020(02):155-167.</w:t>
      </w:r>
    </w:p>
    <w:p>
      <w:pPr>
        <w:pStyle w:val="style29"/>
        <w:snapToGrid w:val="false"/>
        <w:rPr>
          <w:rFonts w:ascii="黑体" w:cs="黑体" w:eastAsia="黑体" w:hAnsi="黑体" w:hint="eastAsia"/>
          <w:sz w:val="15"/>
          <w:szCs w:val="15"/>
        </w:rPr>
      </w:pPr>
    </w:p>
  </w:footnote>
  <w:footnote w:id="6">
    <w:p>
      <w:pPr>
        <w:pStyle w:val="style29"/>
        <w:snapToGrid w:val="false"/>
        <w:rPr>
          <w:rFonts w:hint="eastAsia"/>
        </w:rPr>
      </w:pPr>
      <w:r>
        <w:rPr>
          <w:rStyle w:val="style38"/>
        </w:rPr>
        <w:footnoteRef/>
      </w:r>
      <w:r>
        <w:t xml:space="preserve"> </w:t>
      </w:r>
      <w:r>
        <w:rPr>
          <w:rFonts w:hint="eastAsia"/>
        </w:rPr>
        <w:t>张海军.人工智能绘画的艺术性[J].文化月刊,2020(01):160-161.</w:t>
      </w:r>
    </w:p>
    <w:p>
      <w:pPr>
        <w:pStyle w:val="style29"/>
        <w:snapToGrid w:val="false"/>
        <w:rPr/>
      </w:pPr>
    </w:p>
    <w:p>
      <w:pPr>
        <w:pStyle w:val="style29"/>
        <w:snapToGrid w:val="false"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2D0AD2DA"/>
    <w:lvl w:ilvl="0">
      <w:start w:val="2"/>
      <w:numFmt w:val="chineseCounting"/>
      <w:suff w:val="nothing"/>
      <w:lvlText w:val="%1．"/>
      <w:lvlJc w:val="left"/>
      <w:pPr/>
      <w:rPr>
        <w:rFonts w:hint="eastAsia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7"/>
  <w:displayBackgroundShape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43">
    <w:name w:val="endnote text"/>
    <w:basedOn w:val="style0"/>
    <w:next w:val="style43"/>
    <w:qFormat/>
    <w:uiPriority w:val="0"/>
    <w:pPr>
      <w:snapToGrid w:val="false"/>
      <w:jc w:val="left"/>
    </w:pPr>
    <w:rPr/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qFormat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  <w:style w:type="paragraph" w:styleId="style29">
    <w:name w:val="footnote text"/>
    <w:basedOn w:val="style0"/>
    <w:next w:val="style29"/>
    <w:qFormat/>
    <w:uiPriority w:val="0"/>
    <w:pPr>
      <w:snapToGrid w:val="false"/>
      <w:jc w:val="left"/>
    </w:pPr>
    <w:rPr>
      <w:sz w:val="18"/>
    </w:rPr>
  </w:style>
  <w:style w:type="paragraph" w:styleId="style94">
    <w:name w:val="Normal (Web)"/>
    <w:basedOn w:val="style0"/>
    <w:next w:val="style94"/>
    <w:qFormat/>
    <w:uiPriority w:val="0"/>
    <w:pPr>
      <w:spacing w:before="0" w:beforeAutospacing="true" w:after="0" w:afterAutospacing="true"/>
      <w:ind w:left="0" w:right="0"/>
      <w:jc w:val="left"/>
    </w:pPr>
    <w:rPr>
      <w:kern w:val="0"/>
      <w:sz w:val="24"/>
      <w:lang w:val="en-US" w:eastAsia="zh-CN"/>
    </w:rPr>
  </w:style>
  <w:style w:type="character" w:styleId="style42">
    <w:name w:val="endnote reference"/>
    <w:basedOn w:val="style65"/>
    <w:next w:val="style42"/>
    <w:qFormat/>
    <w:uiPriority w:val="0"/>
    <w:rPr>
      <w:vertAlign w:val="superscript"/>
    </w:rPr>
  </w:style>
  <w:style w:type="character" w:styleId="style85">
    <w:name w:val="Hyperlink"/>
    <w:basedOn w:val="style65"/>
    <w:next w:val="style85"/>
    <w:qFormat/>
    <w:uiPriority w:val="0"/>
    <w:rPr>
      <w:color w:val="0000ff"/>
      <w:u w:val="single"/>
    </w:rPr>
  </w:style>
  <w:style w:type="character" w:styleId="style38">
    <w:name w:val="footnote reference"/>
    <w:basedOn w:val="style65"/>
    <w:next w:val="style38"/>
    <w:qFormat/>
    <w:uiPriority w:val="0"/>
    <w:rPr>
      <w:vertAlign w:val="superscri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footnotes" Target="footnotes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Words>2349</Words>
  <Pages>1</Pages>
  <Characters>2661</Characters>
  <Application>WPS Office</Application>
  <DocSecurity>0</DocSecurity>
  <Paragraphs>36</Paragraphs>
  <ScaleCrop>false</ScaleCrop>
  <LinksUpToDate>false</LinksUpToDate>
  <CharactersWithSpaces>2736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2020-10-20T11:08:00Z</dcterms:created>
  <dc:creator>zhaochen20</dc:creator>
  <lastModifiedBy>MRX-W29</lastModifiedBy>
  <dcterms:modified xsi:type="dcterms:W3CDTF">2020-10-25T08:44:41Z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