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WORKING PAPER [number]</w:t>
      </w:r>
    </w:p>
    <w:p>
      <w:r>
        <w:t>Committee: United Nations Environment Assembly</w:t>
      </w:r>
    </w:p>
    <w:p>
      <w:r>
        <w:t>Topic: Plastic Pollution</w:t>
      </w:r>
    </w:p>
    <w:p>
      <w:r>
        <w:t>Sponsors: Japan, Brazil, Canada</w:t>
      </w:r>
    </w:p>
    <w:p>
      <w:r>
        <w:t>1. Establishes a technical exchange platform</w:t>
      </w:r>
    </w:p>
    <w:p>
      <w:r>
        <w:t>(a) Collects replicable practices</w:t>
      </w:r>
    </w:p>
    <w:p>
      <w:r>
        <w:t>(i) Reports progress every six months</w:t>
      </w:r>
    </w:p>
    <w:p>
      <w:r>
        <w:t>2. Encourages voluntary financial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