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Draft Directive [number]</w:t>
      </w:r>
    </w:p>
    <w:p>
      <w:r>
        <w:t>Committee: Security Council</w:t>
      </w:r>
    </w:p>
    <w:p>
      <w:r>
        <w:t>Sponsors: Japan, France, Brazil</w:t>
      </w:r>
    </w:p>
    <w:p>
      <w:r>
        <w:t>Signatories: Canada, Australia</w:t>
      </w:r>
    </w:p>
    <w:p>
      <w:r>
        <w:t>The Committee,</w:t>
      </w:r>
    </w:p>
    <w:p>
      <w:r>
        <w:t>1. Requests the Secretary-General to report within forty-eight hours</w:t>
      </w:r>
    </w:p>
    <w:p>
      <w:r>
        <w:t>2. Decides to establish a temporary coordination mechanism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