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DRAFT RESOLUTION [number]</w:t>
      </w:r>
    </w:p>
    <w:p>
      <w:r>
        <w:t>Committee: General Assembly</w:t>
      </w:r>
    </w:p>
    <w:p>
      <w:r>
        <w:t>Topic: Plastic Pollution</w:t>
      </w:r>
    </w:p>
    <w:p>
      <w:r>
        <w:t>Sponsors: Japan, Brazil, Canada</w:t>
      </w:r>
    </w:p>
    <w:p>
      <w:r>
        <w:t>Signatories: Australia, France</w:t>
      </w:r>
    </w:p>
    <w:p>
      <w:r>
        <w:t>The General Assembly,</w:t>
      </w:r>
    </w:p>
    <w:p>
      <w:r>
        <w:t>Recalling its relevant resolutions on marine protection,</w:t>
      </w:r>
    </w:p>
    <w:p>
      <w:r>
        <w:t>Recognizing the effects of plastic pollution on coastal communities,</w:t>
      </w:r>
    </w:p>
    <w:p>
      <w:r>
        <w:t>1. Requests Member States to adopt measurable national action plans;</w:t>
      </w:r>
    </w:p>
    <w:p>
      <w:r>
        <w:t>(a) Encourages the inclusion of interim targets;</w:t>
      </w:r>
    </w:p>
    <w:p>
      <w:r>
        <w:t>2. Decides to establish an information-sharing mechanism within existing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