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33" w:rsidRDefault="00673D33" w:rsidP="00673D33">
      <w:pPr>
        <w:spacing w:beforeLines="150" w:before="468" w:afterLines="100" w:after="312" w:line="360" w:lineRule="auto"/>
        <w:jc w:val="center"/>
        <w:outlineLvl w:val="0"/>
        <w:rPr>
          <w:rFonts w:eastAsia="SimHei"/>
          <w:bCs/>
          <w:sz w:val="32"/>
          <w:szCs w:val="32"/>
        </w:rPr>
      </w:pPr>
      <w:bookmarkStart w:id="0" w:name="_Toc22155"/>
      <w:bookmarkStart w:id="1" w:name="_Toc3552"/>
      <w:r>
        <w:rPr>
          <w:rFonts w:eastAsia="SimHei"/>
          <w:bCs/>
          <w:sz w:val="32"/>
          <w:szCs w:val="32"/>
        </w:rPr>
        <w:t>硕博连读研究生培养的相关规定</w:t>
      </w:r>
      <w:bookmarkEnd w:id="0"/>
      <w:bookmarkEnd w:id="1"/>
    </w:p>
    <w:p w:rsidR="00673D33" w:rsidRDefault="00673D33" w:rsidP="00673D33">
      <w:pPr>
        <w:pStyle w:val="a3"/>
        <w:spacing w:line="380" w:lineRule="exact"/>
        <w:ind w:firstLineChars="200" w:firstLine="420"/>
        <w:rPr>
          <w:rFonts w:ascii="Times New Roman" w:eastAsia="SimHei" w:hAnsi="Times New Roman"/>
          <w:szCs w:val="21"/>
        </w:rPr>
      </w:pPr>
      <w:r>
        <w:rPr>
          <w:rFonts w:ascii="Times New Roman" w:eastAsia="SimHei" w:hAnsi="Times New Roman"/>
          <w:szCs w:val="21"/>
        </w:rPr>
        <w:t>一、培养方式</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研究生的培养期限为五年。其中一年至一年半的时间进行课程学习，三年半至四年的时间进行科学研究和博士学位论文工作。硕博连读研究生不进行独立的硕士学位论文工作，不颁发硕士研究生毕业证和学位证。</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硕博连读研究生学习的总学分应不少于</w:t>
      </w:r>
      <w:r>
        <w:rPr>
          <w:rFonts w:ascii="Times New Roman" w:eastAsia="SimSun" w:hAnsi="Times New Roman" w:cs="Times New Roman"/>
          <w:color w:val="auto"/>
          <w:kern w:val="2"/>
          <w:sz w:val="21"/>
          <w:szCs w:val="21"/>
        </w:rPr>
        <w:t>3</w:t>
      </w:r>
      <w:r>
        <w:rPr>
          <w:rFonts w:ascii="Times New Roman" w:eastAsia="SimSun" w:hAnsi="Times New Roman" w:cs="Times New Roman" w:hint="eastAsia"/>
          <w:color w:val="auto"/>
          <w:kern w:val="2"/>
          <w:sz w:val="21"/>
          <w:szCs w:val="21"/>
        </w:rPr>
        <w:t>7</w:t>
      </w:r>
      <w:r>
        <w:rPr>
          <w:rFonts w:ascii="Times New Roman" w:eastAsia="SimSun" w:hAnsi="Times New Roman" w:cs="Times New Roman"/>
          <w:color w:val="auto"/>
          <w:kern w:val="2"/>
          <w:sz w:val="21"/>
          <w:szCs w:val="21"/>
        </w:rPr>
        <w:t>学分（其中公共学位课程</w:t>
      </w:r>
      <w:r>
        <w:rPr>
          <w:rFonts w:ascii="Times New Roman" w:eastAsia="SimSun" w:hAnsi="Times New Roman" w:cs="Times New Roman"/>
          <w:color w:val="auto"/>
          <w:kern w:val="2"/>
          <w:sz w:val="21"/>
          <w:szCs w:val="21"/>
        </w:rPr>
        <w:t>≥</w:t>
      </w:r>
      <w:r>
        <w:rPr>
          <w:rFonts w:ascii="Times New Roman" w:eastAsia="SimSun" w:hAnsi="Times New Roman" w:cs="Times New Roman" w:hint="eastAsia"/>
          <w:color w:val="auto"/>
          <w:kern w:val="2"/>
          <w:sz w:val="21"/>
          <w:szCs w:val="21"/>
        </w:rPr>
        <w:t>7</w:t>
      </w:r>
      <w:r>
        <w:rPr>
          <w:rFonts w:ascii="Times New Roman" w:eastAsia="SimSun" w:hAnsi="Times New Roman" w:cs="Times New Roman"/>
          <w:color w:val="auto"/>
          <w:kern w:val="2"/>
          <w:sz w:val="21"/>
          <w:szCs w:val="21"/>
        </w:rPr>
        <w:t>学分，学科学位课</w:t>
      </w:r>
      <w:r>
        <w:rPr>
          <w:rFonts w:ascii="Times New Roman" w:eastAsia="SimSun" w:hAnsi="Times New Roman" w:cs="Times New Roman"/>
          <w:color w:val="auto"/>
          <w:kern w:val="2"/>
          <w:sz w:val="21"/>
          <w:szCs w:val="21"/>
        </w:rPr>
        <w:t>≥12</w:t>
      </w:r>
      <w:r>
        <w:rPr>
          <w:rFonts w:ascii="Times New Roman" w:eastAsia="SimSun" w:hAnsi="Times New Roman" w:cs="Times New Roman"/>
          <w:color w:val="auto"/>
          <w:kern w:val="2"/>
          <w:sz w:val="21"/>
          <w:szCs w:val="21"/>
        </w:rPr>
        <w:t>学分，选修课</w:t>
      </w:r>
      <w:r>
        <w:rPr>
          <w:rFonts w:ascii="Times New Roman" w:eastAsia="SimSun" w:hAnsi="Times New Roman" w:cs="Times New Roman"/>
          <w:color w:val="auto"/>
          <w:kern w:val="2"/>
          <w:sz w:val="21"/>
          <w:szCs w:val="21"/>
        </w:rPr>
        <w:t>≥10</w:t>
      </w:r>
      <w:r>
        <w:rPr>
          <w:rFonts w:ascii="Times New Roman" w:eastAsia="SimSun" w:hAnsi="Times New Roman" w:cs="Times New Roman"/>
          <w:color w:val="auto"/>
          <w:kern w:val="2"/>
          <w:sz w:val="21"/>
          <w:szCs w:val="21"/>
        </w:rPr>
        <w:t>学分，专题及实践</w:t>
      </w:r>
      <w:r>
        <w:rPr>
          <w:rFonts w:ascii="Times New Roman" w:eastAsia="SimSun" w:hAnsi="Times New Roman" w:cs="Times New Roman"/>
          <w:color w:val="auto"/>
          <w:kern w:val="2"/>
          <w:sz w:val="21"/>
          <w:szCs w:val="21"/>
        </w:rPr>
        <w:t>≥3</w:t>
      </w:r>
      <w:r>
        <w:rPr>
          <w:rFonts w:ascii="Times New Roman" w:eastAsia="SimSun" w:hAnsi="Times New Roman" w:cs="Times New Roman"/>
          <w:color w:val="auto"/>
          <w:kern w:val="2"/>
          <w:sz w:val="21"/>
          <w:szCs w:val="21"/>
        </w:rPr>
        <w:t>学分，必修环节</w:t>
      </w:r>
      <w:r>
        <w:rPr>
          <w:rFonts w:ascii="Times New Roman" w:eastAsia="SimSun" w:hAnsi="Times New Roman" w:cs="Times New Roman"/>
          <w:color w:val="auto"/>
          <w:kern w:val="2"/>
          <w:sz w:val="21"/>
          <w:szCs w:val="21"/>
        </w:rPr>
        <w:t>4</w:t>
      </w:r>
      <w:r>
        <w:rPr>
          <w:rFonts w:ascii="Times New Roman" w:eastAsia="SimSun" w:hAnsi="Times New Roman" w:cs="Times New Roman"/>
          <w:color w:val="auto"/>
          <w:kern w:val="2"/>
          <w:sz w:val="21"/>
          <w:szCs w:val="21"/>
        </w:rPr>
        <w:t>学分），各类课程的具体学分分配如下：</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08"/>
        <w:gridCol w:w="2689"/>
        <w:gridCol w:w="1078"/>
        <w:gridCol w:w="1828"/>
      </w:tblGrid>
      <w:tr w:rsidR="00673D33" w:rsidTr="00291CCB">
        <w:trPr>
          <w:trHeight w:val="359"/>
          <w:jc w:val="center"/>
        </w:trPr>
        <w:tc>
          <w:tcPr>
            <w:tcW w:w="3897" w:type="dxa"/>
            <w:gridSpan w:val="2"/>
            <w:vAlign w:val="center"/>
          </w:tcPr>
          <w:p w:rsidR="00673D33" w:rsidRDefault="00673D33" w:rsidP="00291CCB">
            <w:pPr>
              <w:widowControl/>
              <w:spacing w:line="380" w:lineRule="exact"/>
              <w:jc w:val="center"/>
              <w:rPr>
                <w:kern w:val="0"/>
                <w:sz w:val="18"/>
                <w:szCs w:val="18"/>
              </w:rPr>
            </w:pPr>
            <w:r>
              <w:rPr>
                <w:kern w:val="0"/>
                <w:sz w:val="18"/>
                <w:szCs w:val="18"/>
              </w:rPr>
              <w:t>课 程 类 别</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学分</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学时</w:t>
            </w:r>
          </w:p>
        </w:tc>
      </w:tr>
      <w:tr w:rsidR="00673D33" w:rsidTr="00291CCB">
        <w:trPr>
          <w:trHeight w:val="355"/>
          <w:jc w:val="center"/>
        </w:trPr>
        <w:tc>
          <w:tcPr>
            <w:tcW w:w="1208" w:type="dxa"/>
            <w:vMerge w:val="restart"/>
            <w:vAlign w:val="center"/>
          </w:tcPr>
          <w:p w:rsidR="00673D33" w:rsidRDefault="00673D33" w:rsidP="00291CCB">
            <w:pPr>
              <w:widowControl/>
              <w:spacing w:line="380" w:lineRule="exact"/>
              <w:jc w:val="center"/>
              <w:rPr>
                <w:kern w:val="0"/>
                <w:sz w:val="18"/>
                <w:szCs w:val="18"/>
              </w:rPr>
            </w:pPr>
            <w:r>
              <w:rPr>
                <w:kern w:val="0"/>
                <w:sz w:val="18"/>
                <w:szCs w:val="18"/>
              </w:rPr>
              <w:t>学位课</w:t>
            </w: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思想政治理论课（硕士）</w:t>
            </w:r>
          </w:p>
        </w:tc>
        <w:tc>
          <w:tcPr>
            <w:tcW w:w="1078" w:type="dxa"/>
            <w:vMerge w:val="restart"/>
            <w:vAlign w:val="center"/>
          </w:tcPr>
          <w:p w:rsidR="00673D33" w:rsidRDefault="00673D33" w:rsidP="00291CCB">
            <w:pPr>
              <w:widowControl/>
              <w:spacing w:line="380" w:lineRule="exact"/>
              <w:jc w:val="center"/>
              <w:rPr>
                <w:kern w:val="0"/>
                <w:sz w:val="18"/>
                <w:szCs w:val="18"/>
              </w:rPr>
            </w:pPr>
            <w:r>
              <w:rPr>
                <w:kern w:val="0"/>
                <w:sz w:val="18"/>
                <w:szCs w:val="18"/>
              </w:rPr>
              <w:t>3</w:t>
            </w:r>
          </w:p>
        </w:tc>
        <w:tc>
          <w:tcPr>
            <w:tcW w:w="1828" w:type="dxa"/>
            <w:vAlign w:val="center"/>
          </w:tcPr>
          <w:p w:rsidR="00673D33" w:rsidRDefault="00673D33" w:rsidP="00291CCB">
            <w:pPr>
              <w:spacing w:line="380" w:lineRule="exact"/>
              <w:jc w:val="center"/>
              <w:rPr>
                <w:kern w:val="0"/>
                <w:sz w:val="18"/>
                <w:szCs w:val="18"/>
              </w:rPr>
            </w:pPr>
            <w:r>
              <w:rPr>
                <w:kern w:val="0"/>
                <w:sz w:val="18"/>
                <w:szCs w:val="18"/>
              </w:rPr>
              <w:t>54</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sidRPr="00166677">
              <w:rPr>
                <w:color w:val="FF0000"/>
                <w:kern w:val="0"/>
                <w:sz w:val="18"/>
                <w:szCs w:val="18"/>
              </w:rPr>
              <w:t>博士政治讲座</w:t>
            </w:r>
          </w:p>
        </w:tc>
        <w:tc>
          <w:tcPr>
            <w:tcW w:w="1078" w:type="dxa"/>
            <w:vMerge/>
            <w:vAlign w:val="center"/>
          </w:tcPr>
          <w:p w:rsidR="00673D33" w:rsidRDefault="00673D33" w:rsidP="00291CCB">
            <w:pPr>
              <w:widowControl/>
              <w:spacing w:line="380" w:lineRule="exact"/>
              <w:jc w:val="center"/>
              <w:rPr>
                <w:kern w:val="0"/>
                <w:sz w:val="18"/>
                <w:szCs w:val="18"/>
              </w:rPr>
            </w:pPr>
          </w:p>
        </w:tc>
        <w:tc>
          <w:tcPr>
            <w:tcW w:w="1828" w:type="dxa"/>
            <w:vAlign w:val="center"/>
          </w:tcPr>
          <w:p w:rsidR="00673D33" w:rsidRDefault="00673D33" w:rsidP="00291CCB">
            <w:pPr>
              <w:spacing w:line="380" w:lineRule="exact"/>
              <w:jc w:val="center"/>
              <w:rPr>
                <w:kern w:val="0"/>
                <w:sz w:val="18"/>
                <w:szCs w:val="18"/>
              </w:rPr>
            </w:pPr>
            <w:r>
              <w:rPr>
                <w:kern w:val="0"/>
                <w:sz w:val="18"/>
                <w:szCs w:val="18"/>
              </w:rPr>
              <w:t>4</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第一外国语（博士）</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2</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64</w:t>
            </w:r>
          </w:p>
        </w:tc>
      </w:tr>
      <w:tr w:rsidR="00673D33" w:rsidTr="00291CCB">
        <w:trPr>
          <w:trHeight w:val="700"/>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硕士数学基础课</w:t>
            </w:r>
          </w:p>
          <w:p w:rsidR="00673D33" w:rsidRDefault="00673D33" w:rsidP="00291CCB">
            <w:pPr>
              <w:widowControl/>
              <w:spacing w:line="380" w:lineRule="exact"/>
              <w:jc w:val="center"/>
              <w:rPr>
                <w:kern w:val="0"/>
                <w:sz w:val="18"/>
                <w:szCs w:val="18"/>
              </w:rPr>
            </w:pPr>
            <w:r>
              <w:rPr>
                <w:kern w:val="0"/>
                <w:sz w:val="18"/>
                <w:szCs w:val="18"/>
              </w:rPr>
              <w:t>或基础理论课</w:t>
            </w:r>
          </w:p>
        </w:tc>
        <w:tc>
          <w:tcPr>
            <w:tcW w:w="1078" w:type="dxa"/>
            <w:vAlign w:val="center"/>
          </w:tcPr>
          <w:p w:rsidR="00673D33" w:rsidRDefault="00673D33" w:rsidP="00291CCB">
            <w:pPr>
              <w:widowControl/>
              <w:spacing w:line="380" w:lineRule="exact"/>
              <w:jc w:val="center"/>
              <w:rPr>
                <w:kern w:val="0"/>
                <w:sz w:val="18"/>
                <w:szCs w:val="18"/>
              </w:rPr>
            </w:pPr>
            <w:r>
              <w:rPr>
                <w:sz w:val="18"/>
                <w:szCs w:val="18"/>
              </w:rPr>
              <w:t>≥2</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≥64</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硕士学科基础课（学术型）</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4～6</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64～96</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硕士学科专业课（学术型）</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4～6</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64～96</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Pr="00166677" w:rsidRDefault="00673D33" w:rsidP="00291CCB">
            <w:pPr>
              <w:widowControl/>
              <w:spacing w:line="380" w:lineRule="exact"/>
              <w:jc w:val="center"/>
              <w:rPr>
                <w:color w:val="FF0000"/>
                <w:kern w:val="0"/>
                <w:sz w:val="18"/>
                <w:szCs w:val="18"/>
              </w:rPr>
            </w:pPr>
            <w:r w:rsidRPr="00166677">
              <w:rPr>
                <w:color w:val="FF0000"/>
                <w:kern w:val="0"/>
                <w:sz w:val="18"/>
                <w:szCs w:val="18"/>
              </w:rPr>
              <w:t>博士生学科学位课</w:t>
            </w:r>
          </w:p>
        </w:tc>
        <w:tc>
          <w:tcPr>
            <w:tcW w:w="1078" w:type="dxa"/>
            <w:vAlign w:val="center"/>
          </w:tcPr>
          <w:p w:rsidR="00673D33" w:rsidRPr="00166677" w:rsidRDefault="00673D33" w:rsidP="00291CCB">
            <w:pPr>
              <w:widowControl/>
              <w:spacing w:line="380" w:lineRule="exact"/>
              <w:jc w:val="center"/>
              <w:rPr>
                <w:color w:val="FF0000"/>
                <w:kern w:val="0"/>
                <w:sz w:val="18"/>
                <w:szCs w:val="18"/>
              </w:rPr>
            </w:pPr>
            <w:r w:rsidRPr="00166677">
              <w:rPr>
                <w:color w:val="FF0000"/>
                <w:sz w:val="18"/>
                <w:szCs w:val="18"/>
              </w:rPr>
              <w:t>≥</w:t>
            </w:r>
            <w:r w:rsidRPr="00166677">
              <w:rPr>
                <w:color w:val="FF0000"/>
                <w:kern w:val="0"/>
                <w:sz w:val="18"/>
                <w:szCs w:val="18"/>
              </w:rPr>
              <w:t>2</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≥32</w:t>
            </w:r>
          </w:p>
        </w:tc>
      </w:tr>
      <w:tr w:rsidR="00673D33" w:rsidTr="00291CCB">
        <w:trPr>
          <w:trHeight w:val="355"/>
          <w:jc w:val="center"/>
        </w:trPr>
        <w:tc>
          <w:tcPr>
            <w:tcW w:w="1208" w:type="dxa"/>
            <w:vMerge w:val="restart"/>
            <w:vAlign w:val="center"/>
          </w:tcPr>
          <w:p w:rsidR="00673D33" w:rsidRDefault="00673D33" w:rsidP="00291CCB">
            <w:pPr>
              <w:widowControl/>
              <w:spacing w:line="380" w:lineRule="exact"/>
              <w:jc w:val="center"/>
              <w:rPr>
                <w:kern w:val="0"/>
                <w:sz w:val="18"/>
                <w:szCs w:val="18"/>
              </w:rPr>
            </w:pPr>
            <w:r>
              <w:rPr>
                <w:kern w:val="0"/>
                <w:sz w:val="18"/>
                <w:szCs w:val="18"/>
              </w:rPr>
              <w:t>选修课</w:t>
            </w: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硕士选修课</w:t>
            </w:r>
            <w:bookmarkStart w:id="2" w:name="_GoBack"/>
            <w:bookmarkEnd w:id="2"/>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6～8</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96～128</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sidRPr="00166677">
              <w:rPr>
                <w:color w:val="FF0000"/>
                <w:kern w:val="0"/>
                <w:sz w:val="18"/>
                <w:szCs w:val="18"/>
              </w:rPr>
              <w:t>博士选修课</w:t>
            </w:r>
          </w:p>
        </w:tc>
        <w:tc>
          <w:tcPr>
            <w:tcW w:w="1078" w:type="dxa"/>
            <w:vAlign w:val="center"/>
          </w:tcPr>
          <w:p w:rsidR="00673D33" w:rsidRDefault="00673D33" w:rsidP="00291CCB">
            <w:pPr>
              <w:widowControl/>
              <w:spacing w:line="380" w:lineRule="exact"/>
              <w:jc w:val="center"/>
              <w:rPr>
                <w:kern w:val="0"/>
                <w:sz w:val="18"/>
                <w:szCs w:val="18"/>
              </w:rPr>
            </w:pPr>
            <w:r>
              <w:rPr>
                <w:sz w:val="18"/>
                <w:szCs w:val="18"/>
              </w:rPr>
              <w:t>≥</w:t>
            </w:r>
            <w:r>
              <w:rPr>
                <w:kern w:val="0"/>
                <w:sz w:val="18"/>
                <w:szCs w:val="18"/>
              </w:rPr>
              <w:t>4</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≥64</w:t>
            </w:r>
          </w:p>
        </w:tc>
      </w:tr>
      <w:tr w:rsidR="00673D33" w:rsidTr="00291CCB">
        <w:trPr>
          <w:trHeight w:val="700"/>
          <w:jc w:val="center"/>
        </w:trPr>
        <w:tc>
          <w:tcPr>
            <w:tcW w:w="1208" w:type="dxa"/>
            <w:vAlign w:val="center"/>
          </w:tcPr>
          <w:p w:rsidR="00673D33" w:rsidRDefault="00673D33" w:rsidP="00291CCB">
            <w:pPr>
              <w:spacing w:line="380" w:lineRule="exact"/>
              <w:jc w:val="center"/>
              <w:rPr>
                <w:kern w:val="0"/>
                <w:sz w:val="18"/>
                <w:szCs w:val="18"/>
              </w:rPr>
            </w:pPr>
            <w:r>
              <w:rPr>
                <w:kern w:val="0"/>
                <w:sz w:val="18"/>
                <w:szCs w:val="18"/>
              </w:rPr>
              <w:t>专题及</w:t>
            </w:r>
          </w:p>
          <w:p w:rsidR="00673D33" w:rsidRDefault="00673D33" w:rsidP="00291CCB">
            <w:pPr>
              <w:spacing w:line="380" w:lineRule="exact"/>
              <w:jc w:val="center"/>
              <w:rPr>
                <w:kern w:val="0"/>
                <w:sz w:val="18"/>
                <w:szCs w:val="18"/>
              </w:rPr>
            </w:pPr>
            <w:r>
              <w:rPr>
                <w:kern w:val="0"/>
                <w:sz w:val="18"/>
                <w:szCs w:val="18"/>
              </w:rPr>
              <w:t>实践</w:t>
            </w: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专题及实践</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3～6</w:t>
            </w:r>
          </w:p>
        </w:tc>
        <w:tc>
          <w:tcPr>
            <w:tcW w:w="1828" w:type="dxa"/>
            <w:vAlign w:val="center"/>
          </w:tcPr>
          <w:p w:rsidR="00673D33" w:rsidRDefault="00673D33" w:rsidP="00291CCB">
            <w:pPr>
              <w:widowControl/>
              <w:spacing w:line="380" w:lineRule="exact"/>
              <w:jc w:val="center"/>
              <w:rPr>
                <w:kern w:val="0"/>
                <w:sz w:val="18"/>
                <w:szCs w:val="18"/>
              </w:rPr>
            </w:pPr>
            <w:r>
              <w:rPr>
                <w:kern w:val="0"/>
                <w:sz w:val="18"/>
                <w:szCs w:val="18"/>
              </w:rPr>
              <w:t>48～96</w:t>
            </w:r>
          </w:p>
        </w:tc>
      </w:tr>
      <w:tr w:rsidR="00673D33" w:rsidTr="00291CCB">
        <w:trPr>
          <w:trHeight w:val="355"/>
          <w:jc w:val="center"/>
        </w:trPr>
        <w:tc>
          <w:tcPr>
            <w:tcW w:w="1208" w:type="dxa"/>
            <w:vMerge w:val="restart"/>
            <w:vAlign w:val="center"/>
          </w:tcPr>
          <w:p w:rsidR="00673D33" w:rsidRDefault="00673D33" w:rsidP="00291CCB">
            <w:pPr>
              <w:widowControl/>
              <w:spacing w:line="380" w:lineRule="exact"/>
              <w:jc w:val="center"/>
              <w:rPr>
                <w:kern w:val="0"/>
                <w:sz w:val="18"/>
                <w:szCs w:val="18"/>
              </w:rPr>
            </w:pPr>
            <w:r>
              <w:rPr>
                <w:kern w:val="0"/>
                <w:sz w:val="18"/>
                <w:szCs w:val="18"/>
              </w:rPr>
              <w:t>必修环节</w:t>
            </w: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综合考评</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1</w:t>
            </w:r>
          </w:p>
        </w:tc>
        <w:tc>
          <w:tcPr>
            <w:tcW w:w="1828" w:type="dxa"/>
            <w:vMerge w:val="restart"/>
            <w:vAlign w:val="center"/>
          </w:tcPr>
          <w:p w:rsidR="00673D33" w:rsidRDefault="00673D33" w:rsidP="00291CCB">
            <w:pPr>
              <w:widowControl/>
              <w:spacing w:line="380" w:lineRule="exact"/>
              <w:jc w:val="center"/>
              <w:rPr>
                <w:kern w:val="0"/>
                <w:sz w:val="18"/>
                <w:szCs w:val="18"/>
              </w:rPr>
            </w:pPr>
            <w:r>
              <w:rPr>
                <w:kern w:val="0"/>
                <w:sz w:val="18"/>
                <w:szCs w:val="18"/>
              </w:rPr>
              <w:t>/</w:t>
            </w: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开题报告</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1</w:t>
            </w:r>
          </w:p>
        </w:tc>
        <w:tc>
          <w:tcPr>
            <w:tcW w:w="1828" w:type="dxa"/>
            <w:vMerge/>
            <w:vAlign w:val="center"/>
          </w:tcPr>
          <w:p w:rsidR="00673D33" w:rsidRDefault="00673D33" w:rsidP="00291CCB">
            <w:pPr>
              <w:widowControl/>
              <w:spacing w:line="380" w:lineRule="exact"/>
              <w:jc w:val="center"/>
              <w:rPr>
                <w:kern w:val="0"/>
                <w:sz w:val="18"/>
                <w:szCs w:val="18"/>
              </w:rPr>
            </w:pP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中期检查</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1</w:t>
            </w:r>
          </w:p>
        </w:tc>
        <w:tc>
          <w:tcPr>
            <w:tcW w:w="1828" w:type="dxa"/>
            <w:vMerge/>
            <w:vAlign w:val="center"/>
          </w:tcPr>
          <w:p w:rsidR="00673D33" w:rsidRDefault="00673D33" w:rsidP="00291CCB">
            <w:pPr>
              <w:widowControl/>
              <w:spacing w:line="380" w:lineRule="exact"/>
              <w:jc w:val="center"/>
              <w:rPr>
                <w:kern w:val="0"/>
                <w:sz w:val="18"/>
                <w:szCs w:val="18"/>
              </w:rPr>
            </w:pPr>
          </w:p>
        </w:tc>
      </w:tr>
      <w:tr w:rsidR="00673D33" w:rsidTr="00291CCB">
        <w:trPr>
          <w:trHeight w:val="355"/>
          <w:jc w:val="center"/>
        </w:trPr>
        <w:tc>
          <w:tcPr>
            <w:tcW w:w="1208" w:type="dxa"/>
            <w:vMerge/>
            <w:vAlign w:val="center"/>
          </w:tcPr>
          <w:p w:rsidR="00673D33" w:rsidRDefault="00673D33" w:rsidP="00291CCB">
            <w:pPr>
              <w:widowControl/>
              <w:spacing w:line="380" w:lineRule="exact"/>
              <w:jc w:val="center"/>
              <w:rPr>
                <w:kern w:val="0"/>
                <w:sz w:val="18"/>
                <w:szCs w:val="18"/>
              </w:rPr>
            </w:pPr>
          </w:p>
        </w:tc>
        <w:tc>
          <w:tcPr>
            <w:tcW w:w="2689" w:type="dxa"/>
            <w:vAlign w:val="center"/>
          </w:tcPr>
          <w:p w:rsidR="00673D33" w:rsidRDefault="00673D33" w:rsidP="00291CCB">
            <w:pPr>
              <w:widowControl/>
              <w:spacing w:line="380" w:lineRule="exact"/>
              <w:jc w:val="center"/>
              <w:rPr>
                <w:kern w:val="0"/>
                <w:sz w:val="18"/>
                <w:szCs w:val="18"/>
              </w:rPr>
            </w:pPr>
            <w:r>
              <w:rPr>
                <w:kern w:val="0"/>
                <w:sz w:val="18"/>
                <w:szCs w:val="18"/>
              </w:rPr>
              <w:t>学术活动或社会实践</w:t>
            </w:r>
          </w:p>
        </w:tc>
        <w:tc>
          <w:tcPr>
            <w:tcW w:w="1078" w:type="dxa"/>
            <w:vAlign w:val="center"/>
          </w:tcPr>
          <w:p w:rsidR="00673D33" w:rsidRDefault="00673D33" w:rsidP="00291CCB">
            <w:pPr>
              <w:widowControl/>
              <w:spacing w:line="380" w:lineRule="exact"/>
              <w:jc w:val="center"/>
              <w:rPr>
                <w:kern w:val="0"/>
                <w:sz w:val="18"/>
                <w:szCs w:val="18"/>
              </w:rPr>
            </w:pPr>
            <w:r>
              <w:rPr>
                <w:kern w:val="0"/>
                <w:sz w:val="18"/>
                <w:szCs w:val="18"/>
              </w:rPr>
              <w:t>1</w:t>
            </w:r>
          </w:p>
        </w:tc>
        <w:tc>
          <w:tcPr>
            <w:tcW w:w="1828" w:type="dxa"/>
            <w:vMerge/>
            <w:vAlign w:val="center"/>
          </w:tcPr>
          <w:p w:rsidR="00673D33" w:rsidRDefault="00673D33" w:rsidP="00291CCB">
            <w:pPr>
              <w:widowControl/>
              <w:spacing w:line="380" w:lineRule="exact"/>
              <w:jc w:val="center"/>
              <w:rPr>
                <w:kern w:val="0"/>
                <w:sz w:val="18"/>
                <w:szCs w:val="18"/>
              </w:rPr>
            </w:pPr>
          </w:p>
        </w:tc>
      </w:tr>
      <w:tr w:rsidR="00673D33" w:rsidTr="00291CCB">
        <w:trPr>
          <w:trHeight w:val="368"/>
          <w:jc w:val="center"/>
        </w:trPr>
        <w:tc>
          <w:tcPr>
            <w:tcW w:w="3897" w:type="dxa"/>
            <w:gridSpan w:val="2"/>
            <w:vAlign w:val="center"/>
          </w:tcPr>
          <w:p w:rsidR="00673D33" w:rsidRPr="004D2D65" w:rsidRDefault="00673D33" w:rsidP="00291CCB">
            <w:pPr>
              <w:widowControl/>
              <w:spacing w:line="380" w:lineRule="exact"/>
              <w:jc w:val="center"/>
              <w:rPr>
                <w:b/>
                <w:kern w:val="0"/>
                <w:sz w:val="18"/>
                <w:szCs w:val="18"/>
              </w:rPr>
            </w:pPr>
            <w:r w:rsidRPr="004D2D65">
              <w:rPr>
                <w:b/>
                <w:kern w:val="0"/>
                <w:sz w:val="18"/>
                <w:szCs w:val="18"/>
              </w:rPr>
              <w:t>总学分</w:t>
            </w:r>
          </w:p>
        </w:tc>
        <w:tc>
          <w:tcPr>
            <w:tcW w:w="2906" w:type="dxa"/>
            <w:gridSpan w:val="2"/>
            <w:vAlign w:val="center"/>
          </w:tcPr>
          <w:p w:rsidR="00673D33" w:rsidRPr="004D2D65" w:rsidRDefault="00673D33" w:rsidP="00291CCB">
            <w:pPr>
              <w:widowControl/>
              <w:spacing w:line="380" w:lineRule="exact"/>
              <w:jc w:val="center"/>
              <w:rPr>
                <w:b/>
                <w:kern w:val="0"/>
                <w:sz w:val="18"/>
                <w:szCs w:val="18"/>
              </w:rPr>
            </w:pPr>
            <w:r w:rsidRPr="004D2D65">
              <w:rPr>
                <w:b/>
                <w:sz w:val="18"/>
                <w:szCs w:val="18"/>
              </w:rPr>
              <w:t>≥</w:t>
            </w:r>
            <w:r w:rsidRPr="004D2D65">
              <w:rPr>
                <w:b/>
                <w:kern w:val="0"/>
                <w:sz w:val="18"/>
                <w:szCs w:val="18"/>
              </w:rPr>
              <w:t>37</w:t>
            </w:r>
          </w:p>
        </w:tc>
      </w:tr>
    </w:tbl>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对实行培养模式改革学科的硕博连读生所修的硕士基础理论课学分应满足相应学科学术研究型培养方案的要求。</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对跨一级学科报考硕士研究生的学生，进行硕博连读时应在导师指导下补修本学科的部分本科课程。补修课程只记成绩，不计学分。</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对不能完成博士学位论文的硕博连读生按硕士生培养方案执行。</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对硕博连读研究生学位论文的要求与我校对博士学位论文的要求相同。</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p>
    <w:p w:rsidR="00673D33" w:rsidRDefault="00673D33" w:rsidP="00673D33">
      <w:pPr>
        <w:pStyle w:val="a3"/>
        <w:spacing w:line="380" w:lineRule="exact"/>
        <w:ind w:firstLineChars="200" w:firstLine="420"/>
        <w:rPr>
          <w:rFonts w:ascii="Times New Roman" w:eastAsia="SimHei" w:hAnsi="Times New Roman"/>
          <w:szCs w:val="21"/>
        </w:rPr>
      </w:pPr>
      <w:r>
        <w:rPr>
          <w:rFonts w:ascii="Times New Roman" w:eastAsia="SimHei" w:hAnsi="Times New Roman"/>
          <w:szCs w:val="21"/>
        </w:rPr>
        <w:lastRenderedPageBreak/>
        <w:t>二、硕博连读研究生综合考评</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生在第二学年结束时参加各院（系）组织的博士生综合考评，考评方式和内容按我校博士生综合考评的有关要求进行。通过考评的学生继续进行博士生阶段的科研和论文工作，在完成各培养环节要求，并在规定的年限内通过博士学位论文答辩后获得博士毕业证书和学位证书。</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硕博连读生原则上不允许转为硕士生培养。如因综合考评不通过等特殊原因，可在第二学年结束时转为硕士生培养，有关要求如下：</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w:t>
      </w:r>
      <w:r>
        <w:rPr>
          <w:rFonts w:ascii="Times New Roman" w:eastAsia="SimSun" w:hAnsi="Times New Roman" w:cs="Times New Roman"/>
          <w:color w:val="auto"/>
          <w:kern w:val="2"/>
          <w:sz w:val="21"/>
          <w:szCs w:val="21"/>
        </w:rPr>
        <w:t>1</w:t>
      </w:r>
      <w:r>
        <w:rPr>
          <w:rFonts w:ascii="Times New Roman" w:eastAsia="SimSun" w:hAnsi="Times New Roman" w:cs="Times New Roman"/>
          <w:color w:val="auto"/>
          <w:kern w:val="2"/>
          <w:sz w:val="21"/>
          <w:szCs w:val="21"/>
        </w:rPr>
        <w:t>）硕博连读生转为硕士生培养，按硕士生学籍进行管理，自入学起培养年限为三年；</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w:t>
      </w:r>
      <w:r>
        <w:rPr>
          <w:rFonts w:ascii="Times New Roman" w:eastAsia="SimSun" w:hAnsi="Times New Roman" w:cs="Times New Roman"/>
          <w:color w:val="auto"/>
          <w:kern w:val="2"/>
          <w:sz w:val="21"/>
          <w:szCs w:val="21"/>
        </w:rPr>
        <w:t>2</w:t>
      </w:r>
      <w:r>
        <w:rPr>
          <w:rFonts w:ascii="Times New Roman" w:eastAsia="SimSun" w:hAnsi="Times New Roman" w:cs="Times New Roman"/>
          <w:color w:val="auto"/>
          <w:kern w:val="2"/>
          <w:sz w:val="21"/>
          <w:szCs w:val="21"/>
        </w:rPr>
        <w:t>）申请硕士学位论文答辩时，应达到硕博连读生发表学术文章的要求（具体标准由各学院确定）。</w:t>
      </w:r>
    </w:p>
    <w:p w:rsidR="00673D33" w:rsidRDefault="00673D33" w:rsidP="00673D33">
      <w:pPr>
        <w:pStyle w:val="a3"/>
        <w:spacing w:line="380" w:lineRule="exact"/>
        <w:ind w:firstLineChars="200" w:firstLine="420"/>
        <w:rPr>
          <w:rFonts w:ascii="Times New Roman" w:eastAsia="SimHei" w:hAnsi="Times New Roman"/>
          <w:szCs w:val="21"/>
        </w:rPr>
      </w:pPr>
      <w:r>
        <w:rPr>
          <w:rFonts w:ascii="Times New Roman" w:eastAsia="SimHei" w:hAnsi="Times New Roman"/>
          <w:szCs w:val="21"/>
        </w:rPr>
        <w:t>三、论文开题</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研究生一般应于入学后第三学年结束前完成开题报告。学位论文开题报告应该是一份相对完整的博士学位论文第一阶段工作的总结报告。开题报告的相关事项见我校《博士学位研究生学位论文开题的要求》。</w:t>
      </w:r>
    </w:p>
    <w:p w:rsidR="00673D33" w:rsidRDefault="00673D33" w:rsidP="00673D33">
      <w:pPr>
        <w:pStyle w:val="a3"/>
        <w:spacing w:line="380" w:lineRule="exact"/>
        <w:ind w:firstLineChars="200" w:firstLine="420"/>
        <w:rPr>
          <w:rFonts w:ascii="Times New Roman" w:eastAsia="SimHei" w:hAnsi="Times New Roman"/>
          <w:szCs w:val="21"/>
        </w:rPr>
      </w:pPr>
      <w:r>
        <w:rPr>
          <w:rFonts w:ascii="Times New Roman" w:eastAsia="SimHei" w:hAnsi="Times New Roman"/>
          <w:szCs w:val="21"/>
        </w:rPr>
        <w:t>四、中期检查</w:t>
      </w:r>
    </w:p>
    <w:p w:rsidR="00673D33" w:rsidRDefault="00673D33" w:rsidP="00673D33">
      <w:pPr>
        <w:pStyle w:val="a4"/>
        <w:spacing w:before="0" w:beforeAutospacing="0" w:after="0" w:afterAutospacing="0" w:line="380" w:lineRule="exact"/>
        <w:ind w:firstLineChars="200" w:firstLine="420"/>
        <w:rPr>
          <w:rFonts w:ascii="Times New Roman" w:eastAsia="SimSun" w:hAnsi="Times New Roman" w:cs="Times New Roman"/>
          <w:color w:val="auto"/>
          <w:kern w:val="2"/>
          <w:sz w:val="21"/>
          <w:szCs w:val="21"/>
        </w:rPr>
      </w:pPr>
      <w:r>
        <w:rPr>
          <w:rFonts w:ascii="Times New Roman" w:eastAsia="SimSun" w:hAnsi="Times New Roman" w:cs="Times New Roman"/>
          <w:color w:val="auto"/>
          <w:kern w:val="2"/>
          <w:sz w:val="21"/>
          <w:szCs w:val="21"/>
        </w:rPr>
        <w:t>硕博连读研究生最迟应于入学后第四学年结束前完成中期检查工作。中期检查的相关事项见我校《博士研究生学位论文中期检查的有关要求》。</w:t>
      </w:r>
    </w:p>
    <w:p w:rsidR="00673D33" w:rsidRDefault="00673D33" w:rsidP="00673D33">
      <w:pPr>
        <w:pStyle w:val="a3"/>
        <w:spacing w:line="380" w:lineRule="exact"/>
        <w:ind w:firstLineChars="200" w:firstLine="420"/>
        <w:rPr>
          <w:rFonts w:ascii="Times New Roman" w:eastAsia="SimHei" w:hAnsi="Times New Roman"/>
          <w:szCs w:val="21"/>
        </w:rPr>
      </w:pPr>
      <w:r>
        <w:rPr>
          <w:rFonts w:ascii="Times New Roman" w:eastAsia="SimHei" w:hAnsi="Times New Roman"/>
          <w:szCs w:val="21"/>
        </w:rPr>
        <w:t>五、直博生</w:t>
      </w:r>
    </w:p>
    <w:p w:rsidR="00673D33" w:rsidRDefault="00673D33" w:rsidP="00673D33">
      <w:pPr>
        <w:pStyle w:val="a3"/>
        <w:spacing w:line="380" w:lineRule="exact"/>
        <w:ind w:firstLineChars="200" w:firstLine="420"/>
        <w:rPr>
          <w:rFonts w:ascii="Times New Roman" w:hAnsi="Times New Roman"/>
          <w:szCs w:val="21"/>
        </w:rPr>
      </w:pPr>
      <w:r>
        <w:rPr>
          <w:rFonts w:ascii="Times New Roman" w:hAnsi="Times New Roman"/>
          <w:szCs w:val="21"/>
        </w:rPr>
        <w:t>直博生的培养参照本规定执行。</w:t>
      </w:r>
    </w:p>
    <w:p w:rsidR="00673D33" w:rsidRDefault="00673D33" w:rsidP="00673D33">
      <w:pPr>
        <w:pStyle w:val="a3"/>
        <w:spacing w:line="380" w:lineRule="exact"/>
        <w:ind w:firstLineChars="200" w:firstLine="420"/>
        <w:rPr>
          <w:rFonts w:ascii="Times New Roman" w:hAnsi="Times New Roman"/>
          <w:szCs w:val="21"/>
        </w:rPr>
      </w:pPr>
      <w:r>
        <w:rPr>
          <w:rFonts w:ascii="Times New Roman" w:hAnsi="Times New Roman"/>
          <w:szCs w:val="21"/>
        </w:rPr>
        <w:t>本校优秀直博生若在本科阶段提前学习了研究生课程，并提前进入研究课题，培养年限可为</w:t>
      </w:r>
      <w:r>
        <w:rPr>
          <w:rFonts w:ascii="Times New Roman" w:hAnsi="Times New Roman"/>
          <w:szCs w:val="21"/>
        </w:rPr>
        <w:t>4</w:t>
      </w:r>
      <w:r>
        <w:rPr>
          <w:rFonts w:ascii="Times New Roman" w:hAnsi="Times New Roman"/>
          <w:szCs w:val="21"/>
        </w:rPr>
        <w:t>年，具体培养过程参照《哈尔滨工业大学攻读博士学位研究生培养工作的规定》执行。</w:t>
      </w:r>
    </w:p>
    <w:p w:rsidR="00673D33" w:rsidRPr="004D2D65" w:rsidRDefault="00673D33" w:rsidP="00673D33"/>
    <w:p w:rsidR="0019045C" w:rsidRPr="00673D33" w:rsidRDefault="0057716C" w:rsidP="00673D33">
      <w:pPr>
        <w:rPr>
          <w:sz w:val="24"/>
          <w:szCs w:val="24"/>
        </w:rPr>
      </w:pPr>
    </w:p>
    <w:sectPr w:rsidR="0019045C" w:rsidRPr="00673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Microsoft YaHe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等线 Light">
    <w:altName w:val="Microsoft YaHei"/>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D33"/>
    <w:rsid w:val="000B1529"/>
    <w:rsid w:val="00105694"/>
    <w:rsid w:val="00152E80"/>
    <w:rsid w:val="00166677"/>
    <w:rsid w:val="00172CC7"/>
    <w:rsid w:val="001C4521"/>
    <w:rsid w:val="001D1442"/>
    <w:rsid w:val="00280449"/>
    <w:rsid w:val="00281525"/>
    <w:rsid w:val="00303E10"/>
    <w:rsid w:val="00344533"/>
    <w:rsid w:val="00363078"/>
    <w:rsid w:val="00393B30"/>
    <w:rsid w:val="00427EBC"/>
    <w:rsid w:val="004A1909"/>
    <w:rsid w:val="0057716C"/>
    <w:rsid w:val="005D5939"/>
    <w:rsid w:val="005E3A32"/>
    <w:rsid w:val="006306BC"/>
    <w:rsid w:val="00644E94"/>
    <w:rsid w:val="00646336"/>
    <w:rsid w:val="00673D33"/>
    <w:rsid w:val="00776ADA"/>
    <w:rsid w:val="0079467E"/>
    <w:rsid w:val="007C3074"/>
    <w:rsid w:val="00814641"/>
    <w:rsid w:val="00873EB2"/>
    <w:rsid w:val="00975C5B"/>
    <w:rsid w:val="00A25878"/>
    <w:rsid w:val="00A87774"/>
    <w:rsid w:val="00BB0767"/>
    <w:rsid w:val="00C4671F"/>
    <w:rsid w:val="00CA4A98"/>
    <w:rsid w:val="00D11D9B"/>
    <w:rsid w:val="00D74056"/>
    <w:rsid w:val="00D832C1"/>
    <w:rsid w:val="00DD6053"/>
    <w:rsid w:val="00E25DAF"/>
    <w:rsid w:val="00FB0225"/>
    <w:rsid w:val="00FD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D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73D33"/>
    <w:rPr>
      <w:rFonts w:ascii="SimSun" w:eastAsia="SimSun" w:hAnsi="Courier New"/>
    </w:rPr>
  </w:style>
  <w:style w:type="paragraph" w:styleId="a3">
    <w:name w:val="Plain Text"/>
    <w:basedOn w:val="a"/>
    <w:link w:val="Char"/>
    <w:rsid w:val="00673D33"/>
    <w:rPr>
      <w:rFonts w:ascii="SimSun" w:eastAsia="SimSun" w:hAnsi="Courier New"/>
    </w:rPr>
  </w:style>
  <w:style w:type="character" w:customStyle="1" w:styleId="1">
    <w:name w:val="纯文本 字符1"/>
    <w:basedOn w:val="a0"/>
    <w:uiPriority w:val="99"/>
    <w:semiHidden/>
    <w:rsid w:val="00673D33"/>
    <w:rPr>
      <w:rFonts w:asciiTheme="minorEastAsia" w:hAnsi="Courier New" w:cs="Courier New"/>
    </w:rPr>
  </w:style>
  <w:style w:type="paragraph" w:styleId="a4">
    <w:name w:val="Normal (Web)"/>
    <w:basedOn w:val="a"/>
    <w:rsid w:val="00673D33"/>
    <w:pPr>
      <w:widowControl/>
      <w:spacing w:before="100" w:beforeAutospacing="1" w:after="100" w:afterAutospacing="1"/>
      <w:jc w:val="left"/>
    </w:pPr>
    <w:rPr>
      <w:rFonts w:ascii="Arial Unicode MS" w:eastAsia="Arial Unicode MS" w:hAnsi="Arial Unicode MS" w:cs="Arial Unicode MS"/>
      <w:color w:val="000066"/>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D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673D33"/>
    <w:rPr>
      <w:rFonts w:ascii="SimSun" w:eastAsia="SimSun" w:hAnsi="Courier New"/>
    </w:rPr>
  </w:style>
  <w:style w:type="paragraph" w:styleId="a3">
    <w:name w:val="Plain Text"/>
    <w:basedOn w:val="a"/>
    <w:link w:val="Char"/>
    <w:rsid w:val="00673D33"/>
    <w:rPr>
      <w:rFonts w:ascii="SimSun" w:eastAsia="SimSun" w:hAnsi="Courier New"/>
    </w:rPr>
  </w:style>
  <w:style w:type="character" w:customStyle="1" w:styleId="1">
    <w:name w:val="纯文本 字符1"/>
    <w:basedOn w:val="a0"/>
    <w:uiPriority w:val="99"/>
    <w:semiHidden/>
    <w:rsid w:val="00673D33"/>
    <w:rPr>
      <w:rFonts w:asciiTheme="minorEastAsia" w:hAnsi="Courier New" w:cs="Courier New"/>
    </w:rPr>
  </w:style>
  <w:style w:type="paragraph" w:styleId="a4">
    <w:name w:val="Normal (Web)"/>
    <w:basedOn w:val="a"/>
    <w:rsid w:val="00673D33"/>
    <w:pPr>
      <w:widowControl/>
      <w:spacing w:before="100" w:beforeAutospacing="1" w:after="100" w:afterAutospacing="1"/>
      <w:jc w:val="left"/>
    </w:pPr>
    <w:rPr>
      <w:rFonts w:ascii="Arial Unicode MS" w:eastAsia="Arial Unicode MS" w:hAnsi="Arial Unicode MS" w:cs="Arial Unicode MS"/>
      <w:color w:val="000066"/>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hitlife</dc:creator>
  <cp:keywords/>
  <dc:description/>
  <cp:lastModifiedBy>xb21cn</cp:lastModifiedBy>
  <cp:revision>3</cp:revision>
  <dcterms:created xsi:type="dcterms:W3CDTF">2017-09-01T02:01:00Z</dcterms:created>
  <dcterms:modified xsi:type="dcterms:W3CDTF">2018-03-21T11:47:00Z</dcterms:modified>
</cp:coreProperties>
</file>