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一、规范目的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为提高团队协作效率，便于前端后期优化维护，输出高质量的文档。</w:t>
      </w:r>
    </w:p>
    <w:p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二、基本准则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符合web标准，结构表现行为分离，兼容性优良。页面性能方面，代码要求简洁明了有序， 尽可能的减小服务器负载，保证最快的解析速度。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项目的维护和二次开发可能是直接或间接的团队合作，所以创建易维护的代码是一个项目成功与否的关键，易维护的代码意味着具有如下特性：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阅读性好：如良好的注释和命名规范，有文档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具有一致性：看起来如同一个人编写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代码的松耦合，高度模块化：将页面内的元素视为一个个模块，相互独立，尽量避免耦合过高的代码，从html,css,js三个层面都要考虑模块化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严格按照规范编写代码</w:t>
      </w:r>
    </w:p>
    <w:p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三、命名规范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1. 目的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提高代码可预测性和可维护性的方法是使用命名约定，这就意味着采用一致的方法来对变量和函数进行命名。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2. 变量名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变量名包括全局变量，局部变量，类变量，函数参数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3. 构造函数（类）命名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首字母大写，驼峰式命名。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JS中没有类，但是可以用new调用构造函数：var man = new Person();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4. 普通变量命名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首字母小写，驼峰式命名，匈牙利命名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如：nCheckCount 表示整形的数值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5. 匈牙利命名法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匈牙利命名法语法：变量名＝类型＋对象描述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类型指变量的类型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对象描述指对象名字全称或名字的一部分，要求有明确含义，命名要容易记忆容易理解。</w:t>
      </w:r>
    </w:p>
    <w:p>
      <w:pPr>
        <w:spacing w:line="360" w:lineRule="auto"/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提示: 虽然JavaScript变量表面上没有类型，但是JavaScript内部还是会为变量赋予相应的类型</w:t>
      </w:r>
    </w:p>
    <w:tbl>
      <w:tblPr>
        <w:tblW w:w="86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2"/>
        <w:gridCol w:w="2019"/>
        <w:gridCol w:w="3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rPr>
          <w:tblHeader/>
        </w:trPr>
        <w:tc>
          <w:tcPr>
            <w:tcW w:w="3492" w:type="dxa"/>
            <w:tcBorders>
              <w:top w:val="nil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ottom"/>
              <w:rPr>
                <w:rFonts w:ascii="Source Sans Pro" w:hAnsi="Source Sans Pro" w:eastAsia="Source Sans Pro" w:cs="Source Sans Pro"/>
                <w:b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JavaScript变量起名类型</w:t>
            </w:r>
          </w:p>
        </w:tc>
        <w:tc>
          <w:tcPr>
            <w:tcW w:w="2019" w:type="dxa"/>
            <w:tcBorders>
              <w:top w:val="nil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ottom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变量命名前缀</w:t>
            </w:r>
          </w:p>
        </w:tc>
        <w:tc>
          <w:tcPr>
            <w:tcW w:w="3114" w:type="dxa"/>
            <w:tcBorders>
              <w:top w:val="nil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left"/>
              <w:textAlignment w:val="bottom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Array 数组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aList，aGroup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Boolean 逻辑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bChecked，bHasLogin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Function 函数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fGetHtml，fInit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Integer 数字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nPage，nTotal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Object 对象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oButton，oDate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Regular Expression 正则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rDomain，rEmail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</w:tblPrEx>
        <w:tc>
          <w:tcPr>
            <w:tcW w:w="3492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String 字符</w:t>
            </w:r>
          </w:p>
        </w:tc>
        <w:tc>
          <w:tcPr>
            <w:tcW w:w="2019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3114" w:type="dxa"/>
            <w:tcBorders>
              <w:top w:val="single" w:color="DDDDDD" w:sz="8" w:space="0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jc w:val="both"/>
              <w:textAlignment w:val="top"/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sz w:val="30"/>
                <w:szCs w:val="30"/>
              </w:rPr>
            </w:pPr>
            <w:r>
              <w:rPr>
                <w:rFonts w:hint="default" w:ascii="Source Sans Pro" w:hAnsi="Source Sans Pro" w:eastAsia="Source Sans Pro" w:cs="Source Sans Pro"/>
                <w:i w:val="0"/>
                <w:caps w:val="0"/>
                <w:color w:val="3F3F3F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sName，sHtml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. 例外情况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以根据项目及团队需要，设计出针对项目需要的前缀规范，从而达到团队开发协作便利的目的。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作用域不大临时变量可以简写，比如：str，num，bol，obj，fun，arr。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循环变量可以简写，比如：i，j，k等。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某些作为不允许修改值的变量认为是常量，全部字母都大写。例如：COPYRIGHT，PI。常量可以存在于函数中，也可以存在于全局。必须采用全大写的命名，且单词以_分割，常量通常用于ajax请求url，和一些不会改变的数据。</w:t>
      </w:r>
    </w:p>
    <w:p>
      <w:pPr>
        <w:spacing w:line="360" w:lineRule="auto"/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. 函数命名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普通函数</w:t>
      </w:r>
      <w:r>
        <w:rPr>
          <w:rFonts w:hint="eastAsia"/>
        </w:rPr>
        <w:t>：首字母小写，驼峰式命名，统一使用动词或者动词+名词形式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例如：fnGetVersion()，fnSubmitForm()，fnInit()；涉及返回逻辑值的函数可以使用is，has，contains等表示逻辑的词语代替动词，例如：fnIsObject()，fnHasClass()，fnContainsElment()。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内部函数</w:t>
      </w:r>
      <w:r>
        <w:rPr>
          <w:rFonts w:hint="eastAsia"/>
        </w:rPr>
        <w:t>：使用_fn+动词+名词形式，内部函数必需在函数最后定义。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例如：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function fnGetNumber(nTotal) {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if (nTotal &lt; 100) {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nTotal = 100;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return _fnAdd(nTotal);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function _fnAdd(nNumber) {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nNumber++;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return nNumber;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alert(fGetNumber(10)); //alert 101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对象方法与事件响应函数</w:t>
      </w:r>
      <w:r>
        <w:rPr>
          <w:rFonts w:hint="eastAsia"/>
        </w:rPr>
        <w:t>：对象方法命名使用fn+对象类名+动词+名词形式；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例如： fnAddressGetEmail()，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事件响应函数</w:t>
      </w:r>
      <w:r>
        <w:rPr>
          <w:rFonts w:hint="eastAsia"/>
        </w:rPr>
        <w:t>：fn+触发事件对象名+事件名或者模块名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例如：fnDivClick()，fnAddressSubmitButtonClick()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函数方法常用的动词：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get 获取/set 设置,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add 增加/remove 删除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create 创建/destory 移除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start 启动/stop 停止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open 打开/close 关闭,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read 读取/write 写入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load 载入/save 保存,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create 创建/destroy 销毁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begin 开始/end 结束,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backup 备份/restore 恢复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import 导入/export 导出,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split 分割/merge 合并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inject 注入/extract 提取,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attach 附着/detach 脱离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bind 绑定/separate 分离,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view 查看/browse 浏览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edit 编辑/modify 修改,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select 选取/mark 标记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copy 复制/paste 粘贴,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undo 撤销/redo 重做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insert 插入/delete 移除,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add 加入/append 添加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clean 清理/clear 清除,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index 索引/sort 排序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find 查找/search 搜索,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increase 增加/decrease 减少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play 播放/pause 暂停,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launch 启动/run 运行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compile 编译/execute 执行,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debug 调试/trace 跟踪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observe 观察/listen 监听,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build 构建/publish 发布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input 输入/output 输出,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encode 编码/decode 解码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encrypt 加密/decrypt 解密,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compress 压缩/decompress 解压缩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pack 打包/unpack 解包,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parse 解析/emit 生成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connect 连接/disconnect 断开,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send 发送/receive 接收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download 下载/upload 上传,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refresh 刷新/synchronize 同步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update 更新/revert 复原,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lock 锁定/unlock 解锁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check out 签出/check in 签入,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submit 提交/commit 交付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push 推/pull 拉,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expand 展开/collapse 折叠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begin 起始/end 结束,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start 开始/finish 完成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enter 进入/exit 退出,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abort 放弃/quit 离开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obsolete 废弃/depreciate 废旧,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collect 收集/aggregate 聚集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变量命名例子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>为什么需要这样强制定义变量前缀？正式因为javascript是弱语言造成的。在定义大量变量的时候，我们需要很明确的知道当前变量是什么属性，如果只通过普通单词，是很难区分的。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普通代码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var checked = false;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var check = function() {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true;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if(check) {//已经无法很确切知道这里是要用checked还是check()从而导致逻辑错误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//do some thing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规范后代码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var bChecked = false;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var fnCheck = function() {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true;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if(bChecked) {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do some thing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if(fnCheck()) {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do other thing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编写注释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为代码编写注释是非常重要的。通常人们在深入思考一个问题时，会非常清楚这段代码的工作原理。但是当过一周后再次回到该代码时，可能会花上很长时间来回想起那段代码到底是干什么的。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公共组件维护者和各栏目WD都需要在文件头部加上注释说明：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/**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*文件用途说明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*作者姓名、联系方式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*制作日期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**/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大的模块注释方法：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//================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// 代码用途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//================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小的注释：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//代码说明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注释单独一行，不要在代码后的同一行内加注释。例如：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//姓名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 name = “abc”;   V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var name =”abc”; //姓名 X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五、引号的使用，单引号' ' 优先（如果不是引号嵌套，不要使用双引号）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Sans Pro">
    <w:panose1 w:val="020B0603030403090204"/>
    <w:charset w:val="00"/>
    <w:family w:val="auto"/>
    <w:pitch w:val="default"/>
    <w:sig w:usb0="20000007" w:usb1="00000001" w:usb2="00000000" w:usb3="00000000" w:csb0="2000019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878E"/>
    <w:multiLevelType w:val="singleLevel"/>
    <w:tmpl w:val="5EB387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B38917"/>
    <w:multiLevelType w:val="singleLevel"/>
    <w:tmpl w:val="5EB38917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EB38928"/>
    <w:multiLevelType w:val="singleLevel"/>
    <w:tmpl w:val="5EB389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B38987"/>
    <w:multiLevelType w:val="singleLevel"/>
    <w:tmpl w:val="5EB38987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EB389EF"/>
    <w:multiLevelType w:val="singleLevel"/>
    <w:tmpl w:val="5EB389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F8953"/>
    <w:rsid w:val="D7AF8953"/>
    <w:rsid w:val="F76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2020-05-07T11:37:00Z</dcterms:created>
  <dc:creator>each</dc:creator>
  <cp:lastModifiedBy>each</cp:lastModifiedBy>
  <dcterms:modified xsi:type="dcterms:W3CDTF">2020-05-07T11:59:13Z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