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CE31" w14:textId="028885E1" w:rsidR="00D4260B" w:rsidRPr="00920772" w:rsidRDefault="0011636F" w:rsidP="00920772">
      <w:pPr>
        <w:spacing w:before="163" w:after="163" w:line="240" w:lineRule="auto"/>
        <w:rPr>
          <w:b/>
          <w:bCs/>
          <w:sz w:val="28"/>
          <w:szCs w:val="24"/>
        </w:rPr>
      </w:pPr>
      <w:r w:rsidRPr="00920772">
        <w:rPr>
          <w:rFonts w:hint="eastAsia"/>
          <w:b/>
          <w:bCs/>
          <w:sz w:val="28"/>
          <w:szCs w:val="24"/>
        </w:rPr>
        <w:t>Data</w:t>
      </w:r>
      <w:r w:rsidRPr="00920772">
        <w:rPr>
          <w:b/>
          <w:bCs/>
          <w:sz w:val="28"/>
          <w:szCs w:val="24"/>
        </w:rPr>
        <w:t>set</w:t>
      </w:r>
      <w:r w:rsidR="00920772" w:rsidRPr="00920772">
        <w:rPr>
          <w:b/>
          <w:bCs/>
          <w:sz w:val="28"/>
          <w:szCs w:val="24"/>
        </w:rPr>
        <w:t>s</w:t>
      </w:r>
      <w:r w:rsidRPr="00920772">
        <w:rPr>
          <w:b/>
          <w:bCs/>
          <w:sz w:val="28"/>
          <w:szCs w:val="24"/>
        </w:rPr>
        <w:t xml:space="preserve"> Review for </w:t>
      </w:r>
      <w:r w:rsidR="005741CE">
        <w:rPr>
          <w:b/>
          <w:bCs/>
          <w:sz w:val="28"/>
          <w:szCs w:val="24"/>
        </w:rPr>
        <w:t>China’s Housing Project</w:t>
      </w:r>
      <w:r w:rsidRPr="00920772">
        <w:rPr>
          <w:b/>
          <w:bCs/>
          <w:sz w:val="28"/>
          <w:szCs w:val="24"/>
        </w:rPr>
        <w:t xml:space="preserve"> 2021.04</w:t>
      </w:r>
    </w:p>
    <w:p w14:paraId="18D2492D" w14:textId="0FC0199B" w:rsidR="00F87BAD" w:rsidRDefault="002A75BB" w:rsidP="00542642">
      <w:pPr>
        <w:spacing w:before="163" w:after="163" w:line="240" w:lineRule="auto"/>
        <w:ind w:firstLineChars="100" w:firstLine="28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O</w:t>
      </w:r>
      <w:r>
        <w:rPr>
          <w:sz w:val="28"/>
          <w:szCs w:val="24"/>
        </w:rPr>
        <w:t xml:space="preserve">ur motivations may remain to understand patterns of how housing wealth </w:t>
      </w:r>
      <w:r w:rsidR="00542642">
        <w:rPr>
          <w:sz w:val="28"/>
          <w:szCs w:val="24"/>
        </w:rPr>
        <w:t>is</w:t>
      </w:r>
      <w:r>
        <w:rPr>
          <w:sz w:val="28"/>
          <w:szCs w:val="24"/>
        </w:rPr>
        <w:t xml:space="preserve"> intergenerationally transmitted, and how that impacts the livelihood of adult children. </w:t>
      </w:r>
    </w:p>
    <w:p w14:paraId="7C34A6D8" w14:textId="7045605F" w:rsidR="00920772" w:rsidRDefault="005741CE" w:rsidP="00920772">
      <w:pPr>
        <w:spacing w:before="163" w:after="163" w:line="240" w:lineRule="auto"/>
        <w:ind w:firstLineChars="100" w:firstLine="280"/>
        <w:rPr>
          <w:sz w:val="28"/>
          <w:szCs w:val="24"/>
        </w:rPr>
      </w:pPr>
      <w:r>
        <w:rPr>
          <w:sz w:val="28"/>
          <w:szCs w:val="24"/>
        </w:rPr>
        <w:t>Methods based on c</w:t>
      </w:r>
      <w:r w:rsidR="0002281C" w:rsidRPr="00920772">
        <w:rPr>
          <w:sz w:val="28"/>
          <w:szCs w:val="24"/>
        </w:rPr>
        <w:t xml:space="preserve">ross-sectional </w:t>
      </w:r>
      <w:r w:rsidR="00F223B0">
        <w:rPr>
          <w:sz w:val="28"/>
          <w:szCs w:val="24"/>
        </w:rPr>
        <w:t xml:space="preserve">data </w:t>
      </w:r>
      <w:r w:rsidR="00F87BAD">
        <w:rPr>
          <w:sz w:val="28"/>
          <w:szCs w:val="24"/>
        </w:rPr>
        <w:t xml:space="preserve">may </w:t>
      </w:r>
      <w:r w:rsidR="0002281C" w:rsidRPr="00920772">
        <w:rPr>
          <w:sz w:val="28"/>
          <w:szCs w:val="24"/>
        </w:rPr>
        <w:t>still seem most realistic</w:t>
      </w:r>
      <w:r>
        <w:rPr>
          <w:sz w:val="28"/>
          <w:szCs w:val="24"/>
        </w:rPr>
        <w:t xml:space="preserve"> for this project</w:t>
      </w:r>
      <w:r w:rsidR="00F87BAD">
        <w:rPr>
          <w:sz w:val="28"/>
          <w:szCs w:val="24"/>
        </w:rPr>
        <w:t>, given that panel surveys have lasted only 10 years or so in China</w:t>
      </w:r>
      <w:r>
        <w:rPr>
          <w:sz w:val="28"/>
          <w:szCs w:val="24"/>
        </w:rPr>
        <w:t xml:space="preserve">. </w:t>
      </w:r>
      <w:r w:rsidR="00542642">
        <w:rPr>
          <w:sz w:val="28"/>
          <w:szCs w:val="24"/>
        </w:rPr>
        <w:t xml:space="preserve">The table below </w:t>
      </w:r>
      <w:r>
        <w:rPr>
          <w:sz w:val="28"/>
          <w:szCs w:val="24"/>
        </w:rPr>
        <w:t>compares</w:t>
      </w:r>
      <w:r w:rsidR="00920772" w:rsidRPr="00920772">
        <w:rPr>
          <w:sz w:val="28"/>
          <w:szCs w:val="24"/>
        </w:rPr>
        <w:t xml:space="preserve"> </w:t>
      </w:r>
      <w:r w:rsidR="00E3622D">
        <w:rPr>
          <w:sz w:val="28"/>
          <w:szCs w:val="24"/>
        </w:rPr>
        <w:t xml:space="preserve">some key </w:t>
      </w:r>
      <w:r>
        <w:rPr>
          <w:sz w:val="28"/>
          <w:szCs w:val="24"/>
        </w:rPr>
        <w:t xml:space="preserve">aspects </w:t>
      </w:r>
      <w:r w:rsidR="00542642">
        <w:rPr>
          <w:sz w:val="28"/>
          <w:szCs w:val="24"/>
        </w:rPr>
        <w:t xml:space="preserve">of data availability </w:t>
      </w:r>
      <w:r>
        <w:rPr>
          <w:sz w:val="28"/>
          <w:szCs w:val="24"/>
        </w:rPr>
        <w:t xml:space="preserve">in </w:t>
      </w:r>
      <w:r w:rsidR="00920772" w:rsidRPr="00920772">
        <w:rPr>
          <w:sz w:val="28"/>
          <w:szCs w:val="24"/>
        </w:rPr>
        <w:t xml:space="preserve">several </w:t>
      </w:r>
      <w:r w:rsidR="00542642">
        <w:rPr>
          <w:sz w:val="28"/>
          <w:szCs w:val="24"/>
        </w:rPr>
        <w:t xml:space="preserve">candidate survey </w:t>
      </w:r>
      <w:r w:rsidR="00920772" w:rsidRPr="00920772">
        <w:rPr>
          <w:sz w:val="28"/>
          <w:szCs w:val="24"/>
        </w:rPr>
        <w:t>datasets</w:t>
      </w:r>
      <w:r w:rsidR="00F87BAD">
        <w:rPr>
          <w:sz w:val="28"/>
          <w:szCs w:val="24"/>
        </w:rPr>
        <w:t>.</w:t>
      </w:r>
      <w:r w:rsidR="00920772" w:rsidRPr="00920772">
        <w:rPr>
          <w:sz w:val="28"/>
          <w:szCs w:val="24"/>
        </w:rPr>
        <w:t xml:space="preserve"> </w:t>
      </w:r>
    </w:p>
    <w:tbl>
      <w:tblPr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0"/>
        <w:gridCol w:w="1163"/>
        <w:gridCol w:w="963"/>
        <w:gridCol w:w="960"/>
        <w:gridCol w:w="960"/>
        <w:gridCol w:w="960"/>
      </w:tblGrid>
      <w:tr w:rsidR="00F87BAD" w:rsidRPr="00F87BAD" w14:paraId="4BC181C0" w14:textId="77777777" w:rsidTr="00F87BAD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713317DE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eastAsia="等线"/>
                <w:color w:val="000000"/>
                <w:kern w:val="0"/>
                <w:szCs w:val="24"/>
              </w:rPr>
              <w:t>Available?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2792E3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eastAsia="等线"/>
                <w:color w:val="000000"/>
                <w:kern w:val="0"/>
                <w:szCs w:val="24"/>
              </w:rPr>
              <w:t>CHARLS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3AF665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eastAsia="等线"/>
                <w:color w:val="000000"/>
                <w:kern w:val="0"/>
                <w:szCs w:val="24"/>
              </w:rPr>
              <w:t xml:space="preserve">FYRST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0B31B3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eastAsia="等线"/>
                <w:color w:val="000000"/>
                <w:kern w:val="0"/>
                <w:szCs w:val="24"/>
              </w:rPr>
              <w:t>CHFS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7E4B8F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eastAsia="等线"/>
                <w:color w:val="000000"/>
                <w:kern w:val="0"/>
                <w:szCs w:val="24"/>
              </w:rPr>
              <w:t>CFPS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259B3E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eastAsia="等线"/>
                <w:color w:val="000000"/>
                <w:kern w:val="0"/>
                <w:szCs w:val="24"/>
              </w:rPr>
              <w:t>CGSS</w:t>
            </w:r>
          </w:p>
        </w:tc>
      </w:tr>
      <w:tr w:rsidR="00F87BAD" w:rsidRPr="00F87BAD" w14:paraId="22AA0846" w14:textId="77777777" w:rsidTr="00F87BAD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599B6FA0" w14:textId="5C8102E6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eastAsia="等线"/>
                <w:color w:val="000000"/>
                <w:kern w:val="0"/>
                <w:szCs w:val="24"/>
              </w:rPr>
              <w:t>Respondent Parental SES (</w:t>
            </w:r>
            <w:r w:rsidRPr="00F87BAD">
              <w:rPr>
                <w:rFonts w:eastAsia="等线"/>
                <w:color w:val="000000"/>
                <w:kern w:val="0"/>
                <w:szCs w:val="24"/>
              </w:rPr>
              <w:t>e.g.,</w:t>
            </w:r>
            <w:r w:rsidRPr="00F87BAD">
              <w:rPr>
                <w:rFonts w:eastAsia="等线"/>
                <w:color w:val="000000"/>
                <w:kern w:val="0"/>
                <w:szCs w:val="24"/>
              </w:rPr>
              <w:t xml:space="preserve"> education)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1634E7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F84B59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6F6F79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143C23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53F9FC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</w:tr>
      <w:tr w:rsidR="00F87BAD" w:rsidRPr="00F87BAD" w14:paraId="0E9A8E6E" w14:textId="77777777" w:rsidTr="00F87BAD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700C2318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eastAsia="等线"/>
                <w:color w:val="000000"/>
                <w:kern w:val="0"/>
                <w:szCs w:val="24"/>
              </w:rPr>
              <w:t>Respondent Parental homeownership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AB3C5E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37A44F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A75373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393A38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7B4F35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</w:tr>
      <w:tr w:rsidR="00F87BAD" w:rsidRPr="00F87BAD" w14:paraId="08DF2E9D" w14:textId="77777777" w:rsidTr="00F87BAD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5A56D432" w14:textId="5CFF258F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eastAsia="等线"/>
                <w:color w:val="000000"/>
                <w:kern w:val="0"/>
                <w:szCs w:val="24"/>
              </w:rPr>
              <w:t xml:space="preserve">Respondent Parental </w:t>
            </w:r>
            <w:r>
              <w:rPr>
                <w:rFonts w:eastAsia="等线" w:hint="eastAsia"/>
                <w:color w:val="000000"/>
                <w:kern w:val="0"/>
                <w:szCs w:val="24"/>
              </w:rPr>
              <w:t>assets</w:t>
            </w:r>
            <w:r>
              <w:rPr>
                <w:rFonts w:eastAsia="等线"/>
                <w:color w:val="000000"/>
                <w:kern w:val="0"/>
                <w:szCs w:val="24"/>
              </w:rPr>
              <w:t xml:space="preserve"> and </w:t>
            </w:r>
            <w:r w:rsidRPr="00F87BAD">
              <w:rPr>
                <w:rFonts w:eastAsia="等线"/>
                <w:color w:val="000000"/>
                <w:kern w:val="0"/>
                <w:szCs w:val="24"/>
              </w:rPr>
              <w:t>net worth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1771E2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78BE46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284EBB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614AD4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807A44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</w:tr>
      <w:tr w:rsidR="00F87BAD" w:rsidRPr="00F87BAD" w14:paraId="4DC897F2" w14:textId="77777777" w:rsidTr="00F87BAD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750C0171" w14:textId="70481BB8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eastAsia="等线"/>
                <w:color w:val="000000"/>
                <w:kern w:val="0"/>
                <w:szCs w:val="24"/>
              </w:rPr>
              <w:t>Spousal Parental SES (</w:t>
            </w:r>
            <w:r w:rsidRPr="00F87BAD">
              <w:rPr>
                <w:rFonts w:eastAsia="等线"/>
                <w:color w:val="000000"/>
                <w:kern w:val="0"/>
                <w:szCs w:val="24"/>
              </w:rPr>
              <w:t>e.g.,</w:t>
            </w:r>
            <w:r w:rsidRPr="00F87BAD">
              <w:rPr>
                <w:rFonts w:eastAsia="等线"/>
                <w:color w:val="000000"/>
                <w:kern w:val="0"/>
                <w:szCs w:val="24"/>
              </w:rPr>
              <w:t xml:space="preserve"> education)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A04608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AB9604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A713FC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B6800A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5AE324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</w:p>
        </w:tc>
      </w:tr>
      <w:tr w:rsidR="00F87BAD" w:rsidRPr="00F87BAD" w14:paraId="69D2D77B" w14:textId="77777777" w:rsidTr="00F87BAD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2379FDC6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eastAsia="等线"/>
                <w:color w:val="000000"/>
                <w:kern w:val="0"/>
                <w:szCs w:val="24"/>
              </w:rPr>
              <w:t>Spousal Parental homeownership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096D1F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AC1015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  <w:r w:rsidRPr="00F87BAD">
              <w:rPr>
                <w:rFonts w:ascii="等线" w:eastAsia="等线" w:hAnsi="等线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F1DCF5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B6690F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E95E48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</w:tr>
    </w:tbl>
    <w:p w14:paraId="5686116C" w14:textId="65112E02" w:rsidR="00542642" w:rsidRPr="00542642" w:rsidRDefault="00E3622D" w:rsidP="00542642">
      <w:pPr>
        <w:spacing w:before="163" w:after="163" w:line="240" w:lineRule="auto"/>
        <w:rPr>
          <w:sz w:val="28"/>
          <w:szCs w:val="24"/>
        </w:rPr>
      </w:pPr>
      <w:r w:rsidRPr="00542642">
        <w:rPr>
          <w:rFonts w:hint="eastAsia"/>
          <w:sz w:val="28"/>
          <w:szCs w:val="24"/>
        </w:rPr>
        <w:t>M</w:t>
      </w:r>
      <w:r w:rsidRPr="00542642">
        <w:rPr>
          <w:sz w:val="28"/>
          <w:szCs w:val="24"/>
        </w:rPr>
        <w:t>y</w:t>
      </w:r>
      <w:r w:rsidR="00542642" w:rsidRPr="00542642">
        <w:rPr>
          <w:sz w:val="28"/>
          <w:szCs w:val="24"/>
        </w:rPr>
        <w:t xml:space="preserve"> thoughts</w:t>
      </w:r>
      <w:r w:rsidRPr="00542642">
        <w:rPr>
          <w:sz w:val="28"/>
          <w:szCs w:val="24"/>
        </w:rPr>
        <w:t xml:space="preserve">: </w:t>
      </w:r>
      <w:r w:rsidR="00542642">
        <w:rPr>
          <w:sz w:val="28"/>
          <w:szCs w:val="24"/>
        </w:rPr>
        <w:t>i</w:t>
      </w:r>
      <w:r w:rsidR="00542642" w:rsidRPr="00542642">
        <w:rPr>
          <w:sz w:val="28"/>
          <w:szCs w:val="24"/>
        </w:rPr>
        <w:t xml:space="preserve">f we see measurements on spousal parents as indispensable, then </w:t>
      </w:r>
      <w:r w:rsidR="00542642">
        <w:rPr>
          <w:sz w:val="28"/>
          <w:szCs w:val="24"/>
        </w:rPr>
        <w:t xml:space="preserve">it will be a match </w:t>
      </w:r>
      <w:r w:rsidR="00542642" w:rsidRPr="00542642">
        <w:rPr>
          <w:sz w:val="28"/>
          <w:szCs w:val="24"/>
        </w:rPr>
        <w:t xml:space="preserve">between FYRST, CHFS and CFPS. </w:t>
      </w:r>
      <w:r w:rsidR="00542642">
        <w:rPr>
          <w:sz w:val="28"/>
          <w:szCs w:val="24"/>
        </w:rPr>
        <w:t xml:space="preserve">If we want to explore topics requiring more details on parental asset than home ownership, CHARLS would be the best choice. </w:t>
      </w:r>
    </w:p>
    <w:p w14:paraId="4C84D505" w14:textId="0477144F" w:rsidR="00F87BAD" w:rsidRPr="00542642" w:rsidRDefault="00542642" w:rsidP="00542642">
      <w:pPr>
        <w:spacing w:before="163" w:after="163" w:line="24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N</w:t>
      </w:r>
      <w:r>
        <w:rPr>
          <w:sz w:val="28"/>
          <w:szCs w:val="24"/>
        </w:rPr>
        <w:t xml:space="preserve">ote that </w:t>
      </w:r>
      <w:r w:rsidR="00F87BAD" w:rsidRPr="00542642">
        <w:rPr>
          <w:rFonts w:hint="eastAsia"/>
          <w:sz w:val="28"/>
          <w:szCs w:val="24"/>
        </w:rPr>
        <w:t>F</w:t>
      </w:r>
      <w:r w:rsidR="00F87BAD" w:rsidRPr="00542642">
        <w:rPr>
          <w:sz w:val="28"/>
          <w:szCs w:val="24"/>
        </w:rPr>
        <w:t xml:space="preserve">YRST </w:t>
      </w:r>
      <w:r w:rsidR="00F87BAD" w:rsidRPr="00542642">
        <w:rPr>
          <w:sz w:val="28"/>
          <w:szCs w:val="24"/>
        </w:rPr>
        <w:t>focuses solely on Shanghai</w:t>
      </w:r>
      <w:r w:rsidR="00F87BAD" w:rsidRPr="00542642">
        <w:rPr>
          <w:sz w:val="28"/>
          <w:szCs w:val="24"/>
        </w:rPr>
        <w:t xml:space="preserve"> population</w:t>
      </w:r>
      <w:r>
        <w:rPr>
          <w:sz w:val="28"/>
          <w:szCs w:val="24"/>
        </w:rPr>
        <w:t>, while all others are national surveys</w:t>
      </w:r>
      <w:r w:rsidR="00F87BAD" w:rsidRPr="00542642">
        <w:rPr>
          <w:sz w:val="28"/>
          <w:szCs w:val="24"/>
        </w:rPr>
        <w:t xml:space="preserve">. </w:t>
      </w:r>
      <w:r w:rsidRPr="00542642">
        <w:rPr>
          <w:rFonts w:hint="eastAsia"/>
          <w:sz w:val="28"/>
          <w:szCs w:val="24"/>
        </w:rPr>
        <w:t>F</w:t>
      </w:r>
      <w:r w:rsidRPr="00542642">
        <w:rPr>
          <w:sz w:val="28"/>
          <w:szCs w:val="24"/>
        </w:rPr>
        <w:t xml:space="preserve">YRST </w:t>
      </w:r>
      <w:r w:rsidR="00F87BAD" w:rsidRPr="00542642">
        <w:rPr>
          <w:sz w:val="28"/>
          <w:szCs w:val="24"/>
        </w:rPr>
        <w:t xml:space="preserve">has good </w:t>
      </w:r>
      <w:r w:rsidRPr="00542642">
        <w:rPr>
          <w:sz w:val="28"/>
          <w:szCs w:val="24"/>
        </w:rPr>
        <w:t xml:space="preserve">data availability </w:t>
      </w:r>
      <w:r w:rsidR="00F87BAD" w:rsidRPr="00542642">
        <w:rPr>
          <w:sz w:val="28"/>
          <w:szCs w:val="24"/>
        </w:rPr>
        <w:t xml:space="preserve">despite </w:t>
      </w:r>
      <w:r>
        <w:rPr>
          <w:sz w:val="28"/>
          <w:szCs w:val="24"/>
        </w:rPr>
        <w:t>having been</w:t>
      </w:r>
      <w:r w:rsidR="00F87BAD" w:rsidRPr="00542642">
        <w:rPr>
          <w:sz w:val="28"/>
          <w:szCs w:val="24"/>
        </w:rPr>
        <w:t xml:space="preserve"> </w:t>
      </w:r>
      <w:r w:rsidRPr="00542642">
        <w:rPr>
          <w:sz w:val="28"/>
          <w:szCs w:val="24"/>
        </w:rPr>
        <w:t>exploited</w:t>
      </w:r>
      <w:r w:rsidR="00F87BAD" w:rsidRPr="00542642">
        <w:rPr>
          <w:sz w:val="28"/>
          <w:szCs w:val="24"/>
        </w:rPr>
        <w:t xml:space="preserve"> by two papers. </w:t>
      </w:r>
    </w:p>
    <w:p w14:paraId="5D8E4E48" w14:textId="7B29B0A1" w:rsidR="00F87BAD" w:rsidRPr="00920772" w:rsidRDefault="00542642" w:rsidP="00542642">
      <w:pPr>
        <w:spacing w:before="163" w:after="163" w:line="240" w:lineRule="auto"/>
        <w:rPr>
          <w:rFonts w:hint="eastAsia"/>
          <w:sz w:val="28"/>
          <w:szCs w:val="24"/>
        </w:rPr>
      </w:pPr>
      <w:r>
        <w:rPr>
          <w:sz w:val="28"/>
          <w:szCs w:val="24"/>
        </w:rPr>
        <w:t>F</w:t>
      </w:r>
      <w:r w:rsidR="00F87BAD">
        <w:rPr>
          <w:sz w:val="28"/>
          <w:szCs w:val="24"/>
        </w:rPr>
        <w:t>ull name</w:t>
      </w:r>
      <w:r>
        <w:rPr>
          <w:sz w:val="28"/>
          <w:szCs w:val="24"/>
        </w:rPr>
        <w:t>s</w:t>
      </w:r>
      <w:r w:rsidR="00F87BAD">
        <w:rPr>
          <w:sz w:val="28"/>
          <w:szCs w:val="24"/>
        </w:rPr>
        <w:t xml:space="preserve"> of each </w:t>
      </w:r>
      <w:r>
        <w:rPr>
          <w:sz w:val="28"/>
          <w:szCs w:val="24"/>
        </w:rPr>
        <w:t>survey</w:t>
      </w:r>
      <w:r w:rsidR="00F87BAD">
        <w:rPr>
          <w:sz w:val="28"/>
          <w:szCs w:val="24"/>
        </w:rPr>
        <w:t xml:space="preserve"> and</w:t>
      </w:r>
      <w:r>
        <w:rPr>
          <w:sz w:val="28"/>
          <w:szCs w:val="24"/>
        </w:rPr>
        <w:t xml:space="preserve"> </w:t>
      </w:r>
      <w:r w:rsidR="00F87BAD">
        <w:rPr>
          <w:sz w:val="28"/>
          <w:szCs w:val="24"/>
        </w:rPr>
        <w:t>some existing papers published on the</w:t>
      </w:r>
      <w:r>
        <w:rPr>
          <w:sz w:val="28"/>
          <w:szCs w:val="24"/>
        </w:rPr>
        <w:t>m:</w:t>
      </w:r>
    </w:p>
    <w:p w14:paraId="26F25C72" w14:textId="75814B2A" w:rsidR="0011636F" w:rsidRPr="00F223B0" w:rsidRDefault="00E3622D" w:rsidP="00542642">
      <w:pPr>
        <w:pStyle w:val="ListParagraph"/>
        <w:numPr>
          <w:ilvl w:val="0"/>
          <w:numId w:val="2"/>
        </w:numPr>
        <w:spacing w:before="163" w:after="163" w:line="240" w:lineRule="auto"/>
        <w:ind w:firstLineChars="0"/>
        <w:rPr>
          <w:i/>
          <w:sz w:val="28"/>
          <w:szCs w:val="24"/>
        </w:rPr>
      </w:pPr>
      <w:r w:rsidRPr="00F223B0">
        <w:rPr>
          <w:i/>
          <w:sz w:val="28"/>
          <w:szCs w:val="24"/>
        </w:rPr>
        <w:t>CHARLS (</w:t>
      </w:r>
      <w:r w:rsidR="0011636F" w:rsidRPr="00F223B0">
        <w:rPr>
          <w:i/>
          <w:sz w:val="28"/>
          <w:szCs w:val="24"/>
        </w:rPr>
        <w:t>China Health and Retirement Longitudinal Study</w:t>
      </w:r>
      <w:r w:rsidR="00920772" w:rsidRPr="00F223B0">
        <w:rPr>
          <w:i/>
          <w:sz w:val="28"/>
          <w:szCs w:val="24"/>
        </w:rPr>
        <w:t>)</w:t>
      </w:r>
      <w:r w:rsidR="00803851" w:rsidRPr="00920772">
        <w:rPr>
          <w:rStyle w:val="FootnoteReference"/>
          <w:i/>
          <w:sz w:val="28"/>
          <w:szCs w:val="24"/>
        </w:rPr>
        <w:footnoteReference w:id="1"/>
      </w:r>
      <w:r w:rsidR="00803851" w:rsidRPr="00F223B0">
        <w:rPr>
          <w:i/>
          <w:sz w:val="28"/>
          <w:szCs w:val="24"/>
        </w:rPr>
        <w:t xml:space="preserve"> 2018 wave</w:t>
      </w:r>
    </w:p>
    <w:p w14:paraId="21B8BBF0" w14:textId="0FDF3754" w:rsidR="00E962D6" w:rsidRPr="00F223B0" w:rsidRDefault="00E3622D" w:rsidP="00542642">
      <w:pPr>
        <w:pStyle w:val="ListParagraph"/>
        <w:numPr>
          <w:ilvl w:val="0"/>
          <w:numId w:val="2"/>
        </w:numPr>
        <w:spacing w:before="163" w:after="163" w:line="240" w:lineRule="auto"/>
        <w:ind w:firstLineChars="0"/>
        <w:rPr>
          <w:i/>
          <w:iCs/>
          <w:sz w:val="28"/>
          <w:szCs w:val="24"/>
        </w:rPr>
      </w:pPr>
      <w:r w:rsidRPr="00F223B0">
        <w:rPr>
          <w:i/>
          <w:iCs/>
          <w:sz w:val="28"/>
          <w:szCs w:val="24"/>
        </w:rPr>
        <w:t>FYRST</w:t>
      </w:r>
      <w:r w:rsidRPr="00F223B0">
        <w:rPr>
          <w:i/>
          <w:iCs/>
          <w:sz w:val="28"/>
          <w:szCs w:val="24"/>
        </w:rPr>
        <w:t xml:space="preserve"> </w:t>
      </w:r>
      <w:r>
        <w:rPr>
          <w:i/>
          <w:iCs/>
          <w:sz w:val="28"/>
          <w:szCs w:val="24"/>
        </w:rPr>
        <w:t>(</w:t>
      </w:r>
      <w:r w:rsidR="00E962D6" w:rsidRPr="00F223B0">
        <w:rPr>
          <w:i/>
          <w:iCs/>
          <w:sz w:val="28"/>
          <w:szCs w:val="24"/>
        </w:rPr>
        <w:t>Fudan Yangtze River Delta Social Transformation Survey</w:t>
      </w:r>
      <w:r w:rsidR="00920772" w:rsidRPr="00F223B0">
        <w:rPr>
          <w:i/>
          <w:iCs/>
          <w:sz w:val="28"/>
          <w:szCs w:val="24"/>
        </w:rPr>
        <w:t>)</w:t>
      </w:r>
      <w:r w:rsidR="0002281C" w:rsidRPr="00920772">
        <w:rPr>
          <w:rStyle w:val="FootnoteReference"/>
          <w:i/>
          <w:iCs/>
          <w:sz w:val="28"/>
          <w:szCs w:val="24"/>
        </w:rPr>
        <w:footnoteReference w:id="2"/>
      </w:r>
      <w:r w:rsidR="0002281C" w:rsidRPr="00F223B0">
        <w:rPr>
          <w:i/>
          <w:iCs/>
          <w:sz w:val="28"/>
          <w:szCs w:val="24"/>
        </w:rPr>
        <w:t xml:space="preserve"> 2013 wave</w:t>
      </w:r>
    </w:p>
    <w:p w14:paraId="7CA2515C" w14:textId="279CED47" w:rsidR="00920772" w:rsidRDefault="002A75BB" w:rsidP="00542642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O</w:t>
      </w:r>
      <w:r>
        <w:rPr>
          <w:sz w:val="28"/>
          <w:szCs w:val="24"/>
        </w:rPr>
        <w:t>ne general paper</w:t>
      </w:r>
      <w:r>
        <w:rPr>
          <w:rStyle w:val="FootnoteReference"/>
          <w:sz w:val="28"/>
          <w:szCs w:val="24"/>
        </w:rPr>
        <w:footnoteReference w:id="3"/>
      </w:r>
      <w:r>
        <w:rPr>
          <w:sz w:val="28"/>
          <w:szCs w:val="24"/>
        </w:rPr>
        <w:t xml:space="preserve"> published, another on </w:t>
      </w:r>
      <w:r w:rsidR="00E65441" w:rsidRPr="002A75BB">
        <w:rPr>
          <w:rFonts w:hint="eastAsia"/>
          <w:sz w:val="28"/>
          <w:szCs w:val="24"/>
        </w:rPr>
        <w:t>G</w:t>
      </w:r>
      <w:r w:rsidR="00E65441" w:rsidRPr="002A75BB">
        <w:rPr>
          <w:sz w:val="28"/>
          <w:szCs w:val="24"/>
        </w:rPr>
        <w:t>ender</w:t>
      </w:r>
      <w:r>
        <w:rPr>
          <w:sz w:val="28"/>
          <w:szCs w:val="24"/>
        </w:rPr>
        <w:t>ed patterns in marriage transfer</w:t>
      </w:r>
      <w:r>
        <w:rPr>
          <w:rStyle w:val="FootnoteReference"/>
          <w:sz w:val="28"/>
          <w:szCs w:val="24"/>
        </w:rPr>
        <w:footnoteReference w:id="4"/>
      </w:r>
      <w:r>
        <w:rPr>
          <w:sz w:val="28"/>
          <w:szCs w:val="24"/>
        </w:rPr>
        <w:t>.</w:t>
      </w:r>
    </w:p>
    <w:p w14:paraId="6821984E" w14:textId="31552D3E" w:rsidR="00920772" w:rsidRPr="00F223B0" w:rsidRDefault="00E3622D" w:rsidP="005426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rPr>
          <w:i/>
          <w:sz w:val="28"/>
          <w:szCs w:val="24"/>
        </w:rPr>
      </w:pPr>
      <w:r w:rsidRPr="00F223B0">
        <w:rPr>
          <w:i/>
          <w:sz w:val="28"/>
          <w:szCs w:val="24"/>
        </w:rPr>
        <w:t>CHFS</w:t>
      </w:r>
      <w:r w:rsidRPr="00F223B0">
        <w:rPr>
          <w:i/>
          <w:sz w:val="28"/>
          <w:szCs w:val="24"/>
        </w:rPr>
        <w:t xml:space="preserve"> </w:t>
      </w:r>
      <w:r>
        <w:rPr>
          <w:i/>
          <w:sz w:val="28"/>
          <w:szCs w:val="24"/>
        </w:rPr>
        <w:t>(</w:t>
      </w:r>
      <w:r w:rsidR="00920772" w:rsidRPr="00F223B0">
        <w:rPr>
          <w:i/>
          <w:sz w:val="28"/>
          <w:szCs w:val="24"/>
        </w:rPr>
        <w:t>Chinese Household Finance Survey</w:t>
      </w:r>
      <w:r w:rsidR="00EA4757" w:rsidRPr="00F223B0">
        <w:rPr>
          <w:i/>
          <w:sz w:val="28"/>
          <w:szCs w:val="24"/>
        </w:rPr>
        <w:t>)</w:t>
      </w:r>
      <w:r w:rsidR="00920772" w:rsidRPr="00920772">
        <w:rPr>
          <w:rStyle w:val="FootnoteReference"/>
          <w:i/>
          <w:sz w:val="28"/>
          <w:szCs w:val="24"/>
        </w:rPr>
        <w:footnoteReference w:id="5"/>
      </w:r>
      <w:r w:rsidR="00920772" w:rsidRPr="00F223B0">
        <w:rPr>
          <w:i/>
          <w:sz w:val="28"/>
          <w:szCs w:val="24"/>
        </w:rPr>
        <w:t xml:space="preserve"> 2017 wave</w:t>
      </w:r>
    </w:p>
    <w:p w14:paraId="44DB2B61" w14:textId="4134D9C0" w:rsidR="00920772" w:rsidRDefault="002A75BB" w:rsidP="00542642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>
        <w:rPr>
          <w:sz w:val="28"/>
          <w:szCs w:val="24"/>
        </w:rPr>
        <w:t xml:space="preserve">Two papers on the roles of </w:t>
      </w:r>
      <w:r w:rsidR="00920772" w:rsidRPr="00920772">
        <w:rPr>
          <w:sz w:val="28"/>
          <w:szCs w:val="24"/>
        </w:rPr>
        <w:t>Market vs. State vs. Family</w:t>
      </w:r>
      <w:r>
        <w:rPr>
          <w:sz w:val="28"/>
          <w:szCs w:val="24"/>
        </w:rPr>
        <w:t xml:space="preserve"> in housing opportunity</w:t>
      </w:r>
      <w:r>
        <w:rPr>
          <w:rStyle w:val="FootnoteReference"/>
          <w:sz w:val="28"/>
          <w:szCs w:val="24"/>
        </w:rPr>
        <w:footnoteReference w:id="6"/>
      </w:r>
      <w:r>
        <w:rPr>
          <w:sz w:val="28"/>
          <w:szCs w:val="24"/>
        </w:rPr>
        <w:t>.</w:t>
      </w:r>
    </w:p>
    <w:p w14:paraId="03590A31" w14:textId="77777777" w:rsidR="00542642" w:rsidRDefault="00E3622D" w:rsidP="005426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rPr>
          <w:i/>
          <w:sz w:val="28"/>
          <w:szCs w:val="28"/>
        </w:rPr>
      </w:pPr>
      <w:r w:rsidRPr="00F223B0">
        <w:rPr>
          <w:i/>
          <w:sz w:val="28"/>
          <w:szCs w:val="28"/>
        </w:rPr>
        <w:t>CFPS</w:t>
      </w:r>
      <w:r w:rsidRPr="00F223B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</w:t>
      </w:r>
      <w:r w:rsidR="00EA4757" w:rsidRPr="00F223B0">
        <w:rPr>
          <w:i/>
          <w:sz w:val="28"/>
          <w:szCs w:val="28"/>
        </w:rPr>
        <w:t>China Family Panel Studies</w:t>
      </w:r>
      <w:r w:rsidR="00F223B0" w:rsidRPr="00F223B0">
        <w:rPr>
          <w:i/>
          <w:sz w:val="28"/>
          <w:szCs w:val="28"/>
        </w:rPr>
        <w:t>)</w:t>
      </w:r>
      <w:r w:rsidR="00EA4757">
        <w:rPr>
          <w:rStyle w:val="FootnoteReference"/>
          <w:i/>
          <w:sz w:val="28"/>
          <w:szCs w:val="28"/>
        </w:rPr>
        <w:footnoteReference w:id="7"/>
      </w:r>
      <w:r w:rsidR="00F223B0" w:rsidRPr="00F223B0">
        <w:rPr>
          <w:i/>
          <w:sz w:val="28"/>
          <w:szCs w:val="28"/>
        </w:rPr>
        <w:t xml:space="preserve"> 2018 wave</w:t>
      </w:r>
    </w:p>
    <w:p w14:paraId="1E3146E7" w14:textId="53ABDD63" w:rsidR="005741CE" w:rsidRPr="00542642" w:rsidRDefault="00E3622D" w:rsidP="005426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rPr>
          <w:rFonts w:hint="eastAsia"/>
          <w:i/>
          <w:sz w:val="28"/>
          <w:szCs w:val="28"/>
        </w:rPr>
      </w:pPr>
      <w:r w:rsidRPr="00542642">
        <w:rPr>
          <w:i/>
          <w:sz w:val="28"/>
          <w:szCs w:val="28"/>
        </w:rPr>
        <w:t>CGSS</w:t>
      </w:r>
      <w:r w:rsidRPr="00542642">
        <w:rPr>
          <w:i/>
          <w:sz w:val="28"/>
          <w:szCs w:val="28"/>
        </w:rPr>
        <w:t xml:space="preserve"> (</w:t>
      </w:r>
      <w:r w:rsidR="00821ADC" w:rsidRPr="00542642">
        <w:rPr>
          <w:i/>
          <w:sz w:val="28"/>
          <w:szCs w:val="28"/>
        </w:rPr>
        <w:t>Chinese General Social Survey</w:t>
      </w:r>
      <w:r w:rsidR="00EA4757" w:rsidRPr="00542642">
        <w:rPr>
          <w:i/>
          <w:sz w:val="28"/>
          <w:szCs w:val="28"/>
        </w:rPr>
        <w:t>)</w:t>
      </w:r>
      <w:r w:rsidR="0002281C" w:rsidRPr="00920772">
        <w:rPr>
          <w:rStyle w:val="FootnoteReference"/>
          <w:i/>
          <w:sz w:val="28"/>
          <w:szCs w:val="28"/>
        </w:rPr>
        <w:footnoteReference w:id="8"/>
      </w:r>
      <w:r w:rsidR="0002281C" w:rsidRPr="00542642">
        <w:rPr>
          <w:i/>
          <w:sz w:val="28"/>
          <w:szCs w:val="28"/>
        </w:rPr>
        <w:t xml:space="preserve"> 2017 wave</w:t>
      </w:r>
    </w:p>
    <w:p w14:paraId="64D0E8DA" w14:textId="1CFAD123" w:rsidR="0002281C" w:rsidRPr="002A75BB" w:rsidRDefault="002A75BB" w:rsidP="00542642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rFonts w:hint="eastAsia"/>
          <w:sz w:val="28"/>
          <w:szCs w:val="24"/>
        </w:rPr>
      </w:pPr>
      <w:r>
        <w:rPr>
          <w:sz w:val="28"/>
          <w:szCs w:val="24"/>
        </w:rPr>
        <w:t>One paper on housing as a m</w:t>
      </w:r>
      <w:r w:rsidR="00821ADC" w:rsidRPr="00920772">
        <w:rPr>
          <w:sz w:val="28"/>
          <w:szCs w:val="24"/>
        </w:rPr>
        <w:t>obility safety net</w:t>
      </w:r>
      <w:r>
        <w:rPr>
          <w:sz w:val="28"/>
          <w:szCs w:val="24"/>
        </w:rPr>
        <w:t xml:space="preserve"> from parents</w:t>
      </w:r>
      <w:r>
        <w:rPr>
          <w:rStyle w:val="FootnoteReference"/>
          <w:sz w:val="28"/>
          <w:szCs w:val="24"/>
        </w:rPr>
        <w:footnoteReference w:id="9"/>
      </w:r>
      <w:r>
        <w:rPr>
          <w:sz w:val="28"/>
          <w:szCs w:val="24"/>
        </w:rPr>
        <w:t>.</w:t>
      </w:r>
    </w:p>
    <w:sectPr w:rsidR="0002281C" w:rsidRPr="002A75BB" w:rsidSect="007D5EC0">
      <w:pgSz w:w="11906" w:h="16838"/>
      <w:pgMar w:top="1440" w:right="1083" w:bottom="1440" w:left="1083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A612" w14:textId="77777777" w:rsidR="008C38C6" w:rsidRDefault="008C38C6" w:rsidP="00803851">
      <w:pPr>
        <w:spacing w:line="240" w:lineRule="auto"/>
      </w:pPr>
      <w:r>
        <w:separator/>
      </w:r>
    </w:p>
  </w:endnote>
  <w:endnote w:type="continuationSeparator" w:id="0">
    <w:p w14:paraId="4C0DB456" w14:textId="77777777" w:rsidR="008C38C6" w:rsidRDefault="008C38C6" w:rsidP="00803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347D" w14:textId="77777777" w:rsidR="008C38C6" w:rsidRDefault="008C38C6" w:rsidP="00803851">
      <w:pPr>
        <w:spacing w:line="240" w:lineRule="auto"/>
      </w:pPr>
      <w:r>
        <w:separator/>
      </w:r>
    </w:p>
  </w:footnote>
  <w:footnote w:type="continuationSeparator" w:id="0">
    <w:p w14:paraId="209E1784" w14:textId="77777777" w:rsidR="008C38C6" w:rsidRDefault="008C38C6" w:rsidP="00803851">
      <w:pPr>
        <w:spacing w:line="240" w:lineRule="auto"/>
      </w:pPr>
      <w:r>
        <w:continuationSeparator/>
      </w:r>
    </w:p>
  </w:footnote>
  <w:footnote w:id="1">
    <w:p w14:paraId="39734D4A" w14:textId="2862428B" w:rsidR="00803851" w:rsidRPr="00542642" w:rsidRDefault="00803851">
      <w:pPr>
        <w:pStyle w:val="FootnoteText"/>
        <w:rPr>
          <w:sz w:val="16"/>
          <w:szCs w:val="16"/>
        </w:rPr>
      </w:pPr>
      <w:r w:rsidRPr="00542642">
        <w:rPr>
          <w:rStyle w:val="FootnoteReference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1" w:history="1">
        <w:r w:rsidRPr="00542642">
          <w:rPr>
            <w:rStyle w:val="Hyperlink"/>
            <w:sz w:val="16"/>
            <w:szCs w:val="16"/>
          </w:rPr>
          <w:t>https://academic.oup.com/ije/article/43/1/61/730708</w:t>
        </w:r>
      </w:hyperlink>
      <w:r w:rsidRPr="00542642">
        <w:rPr>
          <w:sz w:val="16"/>
          <w:szCs w:val="16"/>
        </w:rPr>
        <w:t xml:space="preserve"> </w:t>
      </w:r>
    </w:p>
  </w:footnote>
  <w:footnote w:id="2">
    <w:p w14:paraId="3B9089B3" w14:textId="66C9B4F0" w:rsidR="0002281C" w:rsidRPr="00542642" w:rsidRDefault="0002281C">
      <w:pPr>
        <w:pStyle w:val="FootnoteText"/>
        <w:rPr>
          <w:sz w:val="16"/>
          <w:szCs w:val="16"/>
        </w:rPr>
      </w:pPr>
      <w:r w:rsidRPr="00542642">
        <w:rPr>
          <w:rStyle w:val="FootnoteReference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2" w:history="1">
        <w:r w:rsidRPr="00542642">
          <w:rPr>
            <w:rStyle w:val="Hyperlink"/>
            <w:sz w:val="16"/>
            <w:szCs w:val="16"/>
          </w:rPr>
          <w:t>https://www.asiaportal.info/database/fudan-university-social-science-data-repository/</w:t>
        </w:r>
      </w:hyperlink>
      <w:r w:rsidRPr="00542642">
        <w:rPr>
          <w:sz w:val="16"/>
          <w:szCs w:val="16"/>
        </w:rPr>
        <w:t xml:space="preserve"> </w:t>
      </w:r>
    </w:p>
  </w:footnote>
  <w:footnote w:id="3">
    <w:p w14:paraId="5B254BF2" w14:textId="336863C4" w:rsidR="002A75BB" w:rsidRPr="00542642" w:rsidRDefault="002A75BB">
      <w:pPr>
        <w:pStyle w:val="FootnoteText"/>
        <w:rPr>
          <w:rFonts w:hint="eastAsia"/>
          <w:sz w:val="16"/>
          <w:szCs w:val="16"/>
        </w:rPr>
      </w:pPr>
      <w:r w:rsidRPr="00542642">
        <w:rPr>
          <w:rStyle w:val="FootnoteReference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3" w:history="1">
        <w:r w:rsidRPr="00542642">
          <w:rPr>
            <w:rStyle w:val="Hyperlink"/>
            <w:sz w:val="16"/>
            <w:szCs w:val="16"/>
          </w:rPr>
          <w:t>https://www.tandfonline.com/doi/abs/10.1080/02673037.2019.1648771</w:t>
        </w:r>
      </w:hyperlink>
      <w:r w:rsidRPr="00542642">
        <w:rPr>
          <w:sz w:val="16"/>
          <w:szCs w:val="16"/>
        </w:rPr>
        <w:t xml:space="preserve"> </w:t>
      </w:r>
    </w:p>
  </w:footnote>
  <w:footnote w:id="4">
    <w:p w14:paraId="52ECC6FB" w14:textId="22981DB6" w:rsidR="002A75BB" w:rsidRPr="00542642" w:rsidRDefault="002A75BB">
      <w:pPr>
        <w:pStyle w:val="FootnoteText"/>
        <w:rPr>
          <w:rFonts w:hint="eastAsia"/>
          <w:sz w:val="16"/>
          <w:szCs w:val="16"/>
        </w:rPr>
      </w:pPr>
      <w:r w:rsidRPr="00542642">
        <w:rPr>
          <w:rStyle w:val="FootnoteReference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4" w:history="1">
        <w:r w:rsidRPr="00542642">
          <w:rPr>
            <w:rStyle w:val="Hyperlink"/>
            <w:sz w:val="16"/>
            <w:szCs w:val="16"/>
          </w:rPr>
          <w:t>https://onli</w:t>
        </w:r>
        <w:r w:rsidRPr="00542642">
          <w:rPr>
            <w:rStyle w:val="Hyperlink"/>
            <w:sz w:val="16"/>
            <w:szCs w:val="16"/>
          </w:rPr>
          <w:t>n</w:t>
        </w:r>
        <w:r w:rsidRPr="00542642">
          <w:rPr>
            <w:rStyle w:val="Hyperlink"/>
            <w:sz w:val="16"/>
            <w:szCs w:val="16"/>
          </w:rPr>
          <w:t>elibrary.wiley.com/doi/full/10.1002/psp.2428</w:t>
        </w:r>
      </w:hyperlink>
      <w:r w:rsidRPr="00542642">
        <w:rPr>
          <w:sz w:val="16"/>
          <w:szCs w:val="16"/>
        </w:rPr>
        <w:t xml:space="preserve"> </w:t>
      </w:r>
    </w:p>
  </w:footnote>
  <w:footnote w:id="5">
    <w:p w14:paraId="50D789CC" w14:textId="77777777" w:rsidR="00920772" w:rsidRPr="00542642" w:rsidRDefault="00920772" w:rsidP="00920772">
      <w:pPr>
        <w:pStyle w:val="FootnoteText"/>
        <w:rPr>
          <w:sz w:val="16"/>
          <w:szCs w:val="16"/>
        </w:rPr>
      </w:pPr>
      <w:r w:rsidRPr="00542642">
        <w:rPr>
          <w:rStyle w:val="FootnoteReference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5" w:history="1">
        <w:r w:rsidRPr="00542642">
          <w:rPr>
            <w:rStyle w:val="Hyperlink"/>
            <w:sz w:val="16"/>
            <w:szCs w:val="16"/>
          </w:rPr>
          <w:t>https://link.springer.com/book/10.1007%2F978-3-642-38151-5</w:t>
        </w:r>
      </w:hyperlink>
      <w:r w:rsidRPr="00542642">
        <w:rPr>
          <w:sz w:val="16"/>
          <w:szCs w:val="16"/>
        </w:rPr>
        <w:t xml:space="preserve"> </w:t>
      </w:r>
    </w:p>
  </w:footnote>
  <w:footnote w:id="6">
    <w:p w14:paraId="7EB6C626" w14:textId="58705996" w:rsidR="002A75BB" w:rsidRPr="00542642" w:rsidRDefault="002A75BB">
      <w:pPr>
        <w:pStyle w:val="FootnoteText"/>
        <w:rPr>
          <w:rFonts w:hint="eastAsia"/>
          <w:sz w:val="16"/>
          <w:szCs w:val="16"/>
        </w:rPr>
      </w:pPr>
      <w:r w:rsidRPr="00542642">
        <w:rPr>
          <w:rStyle w:val="FootnoteReference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6" w:history="1">
        <w:r w:rsidRPr="00542642">
          <w:rPr>
            <w:rStyle w:val="Hyperlink"/>
            <w:sz w:val="16"/>
            <w:szCs w:val="16"/>
          </w:rPr>
          <w:t>https://link.springer.com/article/10.1007%2Fs10901-020-09740-w</w:t>
        </w:r>
      </w:hyperlink>
      <w:r w:rsidRPr="00542642">
        <w:rPr>
          <w:sz w:val="16"/>
          <w:szCs w:val="16"/>
        </w:rPr>
        <w:t xml:space="preserve"> and </w:t>
      </w:r>
      <w:hyperlink r:id="rId7" w:history="1">
        <w:r w:rsidRPr="00542642">
          <w:rPr>
            <w:rStyle w:val="Hyperlink"/>
            <w:sz w:val="16"/>
            <w:szCs w:val="16"/>
          </w:rPr>
          <w:t>https://link.springer.com/article/10.1007/s10901-019-09664-0</w:t>
        </w:r>
      </w:hyperlink>
      <w:r w:rsidRPr="00542642">
        <w:rPr>
          <w:sz w:val="16"/>
          <w:szCs w:val="16"/>
        </w:rPr>
        <w:t xml:space="preserve"> </w:t>
      </w:r>
    </w:p>
  </w:footnote>
  <w:footnote w:id="7">
    <w:p w14:paraId="2C161ECC" w14:textId="443DADA0" w:rsidR="00EA4757" w:rsidRPr="00542642" w:rsidRDefault="00EA4757">
      <w:pPr>
        <w:pStyle w:val="FootnoteText"/>
        <w:rPr>
          <w:sz w:val="16"/>
          <w:szCs w:val="16"/>
        </w:rPr>
      </w:pPr>
      <w:r w:rsidRPr="00542642">
        <w:rPr>
          <w:rStyle w:val="FootnoteReference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8" w:history="1">
        <w:r w:rsidRPr="00542642">
          <w:rPr>
            <w:rStyle w:val="Hyperlink"/>
            <w:sz w:val="16"/>
            <w:szCs w:val="16"/>
          </w:rPr>
          <w:t>https://www.tandfonline.com/doi/abs/10.2753/CSA2162-0555470101.2014.11082908</w:t>
        </w:r>
      </w:hyperlink>
      <w:r w:rsidRPr="00542642">
        <w:rPr>
          <w:sz w:val="16"/>
          <w:szCs w:val="16"/>
        </w:rPr>
        <w:t xml:space="preserve"> </w:t>
      </w:r>
    </w:p>
  </w:footnote>
  <w:footnote w:id="8">
    <w:p w14:paraId="6AB2B726" w14:textId="78C16C09" w:rsidR="0002281C" w:rsidRDefault="0002281C">
      <w:pPr>
        <w:pStyle w:val="FootnoteText"/>
      </w:pPr>
      <w:r w:rsidRPr="00542642">
        <w:rPr>
          <w:rStyle w:val="FootnoteReference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9" w:history="1">
        <w:r w:rsidRPr="00542642">
          <w:rPr>
            <w:rStyle w:val="Hyperlink"/>
            <w:sz w:val="16"/>
            <w:szCs w:val="16"/>
          </w:rPr>
          <w:t>https://www.tandfonline.com/doi/abs/10.2753/CSA2162-0555450104</w:t>
        </w:r>
      </w:hyperlink>
      <w:r w:rsidRPr="00542642">
        <w:rPr>
          <w:sz w:val="16"/>
          <w:szCs w:val="16"/>
        </w:rPr>
        <w:t xml:space="preserve"> </w:t>
      </w:r>
    </w:p>
  </w:footnote>
  <w:footnote w:id="9">
    <w:p w14:paraId="298B4BB6" w14:textId="33FEB69E" w:rsidR="002A75BB" w:rsidRDefault="002A75BB">
      <w:pPr>
        <w:pStyle w:val="FootnoteText"/>
        <w:rPr>
          <w:rFonts w:hint="eastAsia"/>
        </w:rPr>
      </w:pPr>
      <w:r w:rsidRPr="00542642">
        <w:rPr>
          <w:rStyle w:val="FootnoteReference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10" w:history="1">
        <w:r w:rsidRPr="00542642">
          <w:rPr>
            <w:rStyle w:val="Hyperlink"/>
            <w:sz w:val="16"/>
            <w:szCs w:val="16"/>
          </w:rPr>
          <w:t>https://journals.sagepub.com/doi/full/10.1177/2057150X18792835</w:t>
        </w:r>
      </w:hyperlink>
      <w:r w:rsidRPr="00542642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7448"/>
    <w:multiLevelType w:val="hybridMultilevel"/>
    <w:tmpl w:val="11EAA8BE"/>
    <w:lvl w:ilvl="0" w:tplc="826E13EE">
      <w:numFmt w:val="bullet"/>
      <w:lvlText w:val="-"/>
      <w:lvlJc w:val="left"/>
      <w:pPr>
        <w:ind w:left="640" w:hanging="360"/>
      </w:pPr>
      <w:rPr>
        <w:rFonts w:ascii="Times New Roman" w:eastAsia="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" w15:restartNumberingAfterBreak="0">
    <w:nsid w:val="332F4F30"/>
    <w:multiLevelType w:val="hybridMultilevel"/>
    <w:tmpl w:val="E4121B74"/>
    <w:lvl w:ilvl="0" w:tplc="93524EA0">
      <w:start w:val="2021"/>
      <w:numFmt w:val="bullet"/>
      <w:lvlText w:val="-"/>
      <w:lvlJc w:val="left"/>
      <w:pPr>
        <w:ind w:left="600" w:hanging="360"/>
      </w:pPr>
      <w:rPr>
        <w:rFonts w:ascii="Times New Roman" w:eastAsia="仿宋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707B60C4"/>
    <w:multiLevelType w:val="hybridMultilevel"/>
    <w:tmpl w:val="CB1462BA"/>
    <w:lvl w:ilvl="0" w:tplc="5CEE9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yILMwsjc2NTCxNLMyUdpeDU4uLM/DyQAuNaAPkiPbksAAAA"/>
  </w:docVars>
  <w:rsids>
    <w:rsidRoot w:val="0011636F"/>
    <w:rsid w:val="0002281C"/>
    <w:rsid w:val="0011636F"/>
    <w:rsid w:val="002A75BB"/>
    <w:rsid w:val="00383A51"/>
    <w:rsid w:val="00437777"/>
    <w:rsid w:val="00542642"/>
    <w:rsid w:val="005741CE"/>
    <w:rsid w:val="007D5EC0"/>
    <w:rsid w:val="00803851"/>
    <w:rsid w:val="00821ADC"/>
    <w:rsid w:val="00892357"/>
    <w:rsid w:val="008B15EC"/>
    <w:rsid w:val="008C38C6"/>
    <w:rsid w:val="00920772"/>
    <w:rsid w:val="00A72F70"/>
    <w:rsid w:val="00D4260B"/>
    <w:rsid w:val="00E3622D"/>
    <w:rsid w:val="00E65441"/>
    <w:rsid w:val="00E962D6"/>
    <w:rsid w:val="00EA4757"/>
    <w:rsid w:val="00F223B0"/>
    <w:rsid w:val="00F70942"/>
    <w:rsid w:val="00F8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5B0B"/>
  <w15:chartTrackingRefBased/>
  <w15:docId w15:val="{455AE65C-2C43-4FD7-B9C4-4ADAB39F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36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851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038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03851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E65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abs/10.2753/CSA2162-0555470101.2014.11082908" TargetMode="External"/><Relationship Id="rId3" Type="http://schemas.openxmlformats.org/officeDocument/2006/relationships/hyperlink" Target="https://www.tandfonline.com/doi/abs/10.1080/02673037.2019.1648771" TargetMode="External"/><Relationship Id="rId7" Type="http://schemas.openxmlformats.org/officeDocument/2006/relationships/hyperlink" Target="https://link.springer.com/article/10.1007/s10901-019-09664-0" TargetMode="External"/><Relationship Id="rId2" Type="http://schemas.openxmlformats.org/officeDocument/2006/relationships/hyperlink" Target="https://www.asiaportal.info/database/fudan-university-social-science-data-repository/" TargetMode="External"/><Relationship Id="rId1" Type="http://schemas.openxmlformats.org/officeDocument/2006/relationships/hyperlink" Target="https://academic.oup.com/ije/article/43/1/61/730708" TargetMode="External"/><Relationship Id="rId6" Type="http://schemas.openxmlformats.org/officeDocument/2006/relationships/hyperlink" Target="https://link.springer.com/article/10.1007%2Fs10901-020-09740-w" TargetMode="External"/><Relationship Id="rId5" Type="http://schemas.openxmlformats.org/officeDocument/2006/relationships/hyperlink" Target="https://link.springer.com/book/10.1007%2F978-3-642-38151-5" TargetMode="External"/><Relationship Id="rId10" Type="http://schemas.openxmlformats.org/officeDocument/2006/relationships/hyperlink" Target="https://journals.sagepub.com/doi/full/10.1177/2057150X18792835" TargetMode="External"/><Relationship Id="rId4" Type="http://schemas.openxmlformats.org/officeDocument/2006/relationships/hyperlink" Target="https://onlinelibrary.wiley.com/doi/full/10.1002/psp.2428" TargetMode="External"/><Relationship Id="rId9" Type="http://schemas.openxmlformats.org/officeDocument/2006/relationships/hyperlink" Target="https://www.tandfonline.com/doi/abs/10.2753/CSA2162-0555450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4BC18B7-67DB-4F86-9DD2-B4B697EB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Langyi</dc:creator>
  <cp:keywords/>
  <dc:description/>
  <cp:lastModifiedBy>Tian Langyi</cp:lastModifiedBy>
  <cp:revision>5</cp:revision>
  <dcterms:created xsi:type="dcterms:W3CDTF">2021-04-19T01:17:00Z</dcterms:created>
  <dcterms:modified xsi:type="dcterms:W3CDTF">2021-04-19T22:28:00Z</dcterms:modified>
</cp:coreProperties>
</file>