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CE31" w14:textId="2EA5DDDC" w:rsidR="00D4260B" w:rsidRPr="00920772" w:rsidRDefault="0011636F" w:rsidP="00920772">
      <w:pPr>
        <w:spacing w:before="163" w:after="163" w:line="240" w:lineRule="auto"/>
        <w:rPr>
          <w:b/>
          <w:bCs/>
          <w:sz w:val="28"/>
          <w:szCs w:val="24"/>
        </w:rPr>
      </w:pPr>
      <w:r w:rsidRPr="00920772">
        <w:rPr>
          <w:rFonts w:hint="eastAsia"/>
          <w:b/>
          <w:bCs/>
          <w:sz w:val="28"/>
          <w:szCs w:val="24"/>
        </w:rPr>
        <w:t>Data</w:t>
      </w:r>
      <w:r w:rsidRPr="00920772">
        <w:rPr>
          <w:b/>
          <w:bCs/>
          <w:sz w:val="28"/>
          <w:szCs w:val="24"/>
        </w:rPr>
        <w:t>set</w:t>
      </w:r>
      <w:r w:rsidR="00920772" w:rsidRPr="00920772">
        <w:rPr>
          <w:b/>
          <w:bCs/>
          <w:sz w:val="28"/>
          <w:szCs w:val="24"/>
        </w:rPr>
        <w:t>s</w:t>
      </w:r>
      <w:r w:rsidRPr="00920772">
        <w:rPr>
          <w:b/>
          <w:bCs/>
          <w:sz w:val="28"/>
          <w:szCs w:val="24"/>
        </w:rPr>
        <w:t xml:space="preserve"> Review for Project on Housing in China 2021.04</w:t>
      </w:r>
    </w:p>
    <w:p w14:paraId="7C34A6D8" w14:textId="622BCD56" w:rsidR="00920772" w:rsidRPr="00920772" w:rsidRDefault="0002281C" w:rsidP="00920772">
      <w:pPr>
        <w:spacing w:before="163" w:after="163" w:line="240" w:lineRule="auto"/>
        <w:ind w:firstLineChars="100" w:firstLine="280"/>
        <w:rPr>
          <w:sz w:val="28"/>
          <w:szCs w:val="24"/>
        </w:rPr>
      </w:pPr>
      <w:r w:rsidRPr="00920772">
        <w:rPr>
          <w:sz w:val="28"/>
          <w:szCs w:val="24"/>
        </w:rPr>
        <w:t xml:space="preserve">Cross-sectional </w:t>
      </w:r>
      <w:r w:rsidR="00F223B0">
        <w:rPr>
          <w:sz w:val="28"/>
          <w:szCs w:val="24"/>
        </w:rPr>
        <w:t xml:space="preserve">data </w:t>
      </w:r>
      <w:r w:rsidRPr="00920772">
        <w:rPr>
          <w:sz w:val="28"/>
          <w:szCs w:val="24"/>
        </w:rPr>
        <w:t>still seem most realistic</w:t>
      </w:r>
      <w:r w:rsidR="00F223B0">
        <w:rPr>
          <w:sz w:val="28"/>
          <w:szCs w:val="24"/>
        </w:rPr>
        <w:t xml:space="preserve">. </w:t>
      </w:r>
      <w:r w:rsidR="00920772" w:rsidRPr="00920772">
        <w:rPr>
          <w:sz w:val="28"/>
          <w:szCs w:val="24"/>
        </w:rPr>
        <w:t>Based on the assumption that asset information on</w:t>
      </w:r>
      <w:r w:rsidR="00F223B0">
        <w:rPr>
          <w:sz w:val="28"/>
          <w:szCs w:val="24"/>
        </w:rPr>
        <w:t xml:space="preserve"> </w:t>
      </w:r>
      <w:r w:rsidR="00920772" w:rsidRPr="00920772">
        <w:rPr>
          <w:sz w:val="28"/>
          <w:szCs w:val="24"/>
        </w:rPr>
        <w:t xml:space="preserve">children </w:t>
      </w:r>
      <w:r w:rsidR="00F223B0">
        <w:rPr>
          <w:sz w:val="28"/>
          <w:szCs w:val="24"/>
        </w:rPr>
        <w:t xml:space="preserve">and ideally both original and spousal parents </w:t>
      </w:r>
      <w:r w:rsidR="00920772" w:rsidRPr="00920772">
        <w:rPr>
          <w:sz w:val="28"/>
          <w:szCs w:val="24"/>
        </w:rPr>
        <w:t xml:space="preserve">are crucial, below outlines several survey datasets, from some of which relevant papers were published. </w:t>
      </w:r>
    </w:p>
    <w:p w14:paraId="26F25C72" w14:textId="40394795" w:rsidR="0011636F" w:rsidRPr="00F223B0" w:rsidRDefault="0011636F" w:rsidP="00F223B0">
      <w:pPr>
        <w:pStyle w:val="ListParagraph"/>
        <w:numPr>
          <w:ilvl w:val="0"/>
          <w:numId w:val="2"/>
        </w:numPr>
        <w:spacing w:before="163" w:after="163" w:line="240" w:lineRule="auto"/>
        <w:ind w:firstLineChars="0"/>
        <w:rPr>
          <w:i/>
          <w:sz w:val="28"/>
          <w:szCs w:val="24"/>
        </w:rPr>
      </w:pPr>
      <w:r w:rsidRPr="00F223B0">
        <w:rPr>
          <w:i/>
          <w:sz w:val="28"/>
          <w:szCs w:val="24"/>
        </w:rPr>
        <w:t>China Health and Retirement Longitudinal Study</w:t>
      </w:r>
      <w:r w:rsidR="00920772" w:rsidRPr="00F223B0">
        <w:rPr>
          <w:i/>
          <w:sz w:val="28"/>
          <w:szCs w:val="24"/>
        </w:rPr>
        <w:t xml:space="preserve"> (CHARLS)</w:t>
      </w:r>
      <w:r w:rsidR="00803851" w:rsidRPr="00920772">
        <w:rPr>
          <w:rStyle w:val="FootnoteReference"/>
          <w:i/>
          <w:sz w:val="28"/>
          <w:szCs w:val="24"/>
        </w:rPr>
        <w:footnoteReference w:id="1"/>
      </w:r>
      <w:r w:rsidR="00803851" w:rsidRPr="00F223B0">
        <w:rPr>
          <w:i/>
          <w:sz w:val="28"/>
          <w:szCs w:val="24"/>
        </w:rPr>
        <w:t xml:space="preserve"> 2018 wave</w:t>
      </w:r>
    </w:p>
    <w:p w14:paraId="4DC5E19B" w14:textId="548DB217" w:rsidR="00803851" w:rsidRPr="00920772" w:rsidRDefault="00803851" w:rsidP="00920772">
      <w:pPr>
        <w:pStyle w:val="ListParagraph"/>
        <w:numPr>
          <w:ilvl w:val="0"/>
          <w:numId w:val="1"/>
        </w:numPr>
        <w:spacing w:before="163" w:after="163" w:line="240" w:lineRule="auto"/>
        <w:ind w:firstLineChars="0"/>
        <w:rPr>
          <w:sz w:val="28"/>
          <w:szCs w:val="24"/>
        </w:rPr>
      </w:pPr>
      <w:r w:rsidRPr="00920772">
        <w:rPr>
          <w:sz w:val="28"/>
          <w:szCs w:val="24"/>
        </w:rPr>
        <w:t>The only survey that details parental asset (housing, financial, etc.)</w:t>
      </w:r>
      <w:r w:rsidR="00383A51" w:rsidRPr="00920772">
        <w:rPr>
          <w:sz w:val="28"/>
          <w:szCs w:val="24"/>
        </w:rPr>
        <w:t xml:space="preserve">. May focus on topics </w:t>
      </w:r>
      <w:r w:rsidR="0002281C" w:rsidRPr="00920772">
        <w:rPr>
          <w:sz w:val="28"/>
          <w:szCs w:val="24"/>
        </w:rPr>
        <w:t>like</w:t>
      </w:r>
      <w:r w:rsidR="00383A51" w:rsidRPr="00920772">
        <w:rPr>
          <w:sz w:val="28"/>
          <w:szCs w:val="24"/>
        </w:rPr>
        <w:t xml:space="preserve"> effect from </w:t>
      </w:r>
      <w:r w:rsidR="0002281C" w:rsidRPr="00920772">
        <w:rPr>
          <w:sz w:val="28"/>
          <w:szCs w:val="24"/>
        </w:rPr>
        <w:t>various</w:t>
      </w:r>
      <w:r w:rsidR="00383A51" w:rsidRPr="00920772">
        <w:rPr>
          <w:sz w:val="28"/>
          <w:szCs w:val="24"/>
        </w:rPr>
        <w:t xml:space="preserve"> asset components, parents owning one home vs. multiple homes.</w:t>
      </w:r>
    </w:p>
    <w:p w14:paraId="33CBDB48" w14:textId="74C5F44B" w:rsidR="00803851" w:rsidRPr="00920772" w:rsidRDefault="00803851" w:rsidP="00920772">
      <w:pPr>
        <w:pStyle w:val="ListParagraph"/>
        <w:numPr>
          <w:ilvl w:val="0"/>
          <w:numId w:val="1"/>
        </w:numPr>
        <w:spacing w:before="163" w:after="163" w:line="240" w:lineRule="auto"/>
        <w:ind w:firstLineChars="0"/>
        <w:rPr>
          <w:sz w:val="28"/>
          <w:szCs w:val="24"/>
        </w:rPr>
      </w:pPr>
      <w:r w:rsidRPr="00920772">
        <w:rPr>
          <w:sz w:val="28"/>
          <w:szCs w:val="24"/>
        </w:rPr>
        <w:t>Child</w:t>
      </w:r>
      <w:r w:rsidR="00F223B0">
        <w:rPr>
          <w:sz w:val="28"/>
          <w:szCs w:val="24"/>
        </w:rPr>
        <w:t>ren</w:t>
      </w:r>
      <w:r w:rsidRPr="00920772">
        <w:rPr>
          <w:sz w:val="28"/>
          <w:szCs w:val="24"/>
        </w:rPr>
        <w:t xml:space="preserve"> nested </w:t>
      </w:r>
      <w:r w:rsidR="00F223B0">
        <w:rPr>
          <w:sz w:val="28"/>
          <w:szCs w:val="24"/>
        </w:rPr>
        <w:t>at</w:t>
      </w:r>
      <w:r w:rsidRPr="00920772">
        <w:rPr>
          <w:sz w:val="28"/>
          <w:szCs w:val="24"/>
        </w:rPr>
        <w:t xml:space="preserve"> family level; </w:t>
      </w:r>
      <w:r w:rsidR="00F223B0">
        <w:rPr>
          <w:sz w:val="28"/>
          <w:szCs w:val="24"/>
        </w:rPr>
        <w:t xml:space="preserve">not too much </w:t>
      </w:r>
      <w:r w:rsidRPr="00920772">
        <w:rPr>
          <w:sz w:val="28"/>
          <w:szCs w:val="24"/>
        </w:rPr>
        <w:t>information on children’s outcome (education, housing, marriage</w:t>
      </w:r>
      <w:r w:rsidR="00821ADC" w:rsidRPr="00920772">
        <w:rPr>
          <w:sz w:val="28"/>
          <w:szCs w:val="24"/>
        </w:rPr>
        <w:t xml:space="preserve"> time, etc.</w:t>
      </w:r>
      <w:r w:rsidRPr="00920772">
        <w:rPr>
          <w:sz w:val="28"/>
          <w:szCs w:val="24"/>
        </w:rPr>
        <w:t>)</w:t>
      </w:r>
    </w:p>
    <w:p w14:paraId="21B8BBF0" w14:textId="213137FE" w:rsidR="00E962D6" w:rsidRPr="00F223B0" w:rsidRDefault="00E962D6" w:rsidP="00F223B0">
      <w:pPr>
        <w:pStyle w:val="ListParagraph"/>
        <w:numPr>
          <w:ilvl w:val="0"/>
          <w:numId w:val="2"/>
        </w:numPr>
        <w:spacing w:before="163" w:after="163" w:line="240" w:lineRule="auto"/>
        <w:ind w:firstLineChars="0"/>
        <w:rPr>
          <w:i/>
          <w:iCs/>
          <w:sz w:val="28"/>
          <w:szCs w:val="24"/>
        </w:rPr>
      </w:pPr>
      <w:r w:rsidRPr="00F223B0">
        <w:rPr>
          <w:i/>
          <w:iCs/>
          <w:sz w:val="28"/>
          <w:szCs w:val="24"/>
        </w:rPr>
        <w:t>Fudan Yangtze River Delta Social Transformation Survey</w:t>
      </w:r>
      <w:r w:rsidR="00920772" w:rsidRPr="00F223B0">
        <w:rPr>
          <w:i/>
          <w:iCs/>
          <w:sz w:val="28"/>
          <w:szCs w:val="24"/>
        </w:rPr>
        <w:t xml:space="preserve"> (</w:t>
      </w:r>
      <w:r w:rsidR="00EA4757" w:rsidRPr="00F223B0">
        <w:rPr>
          <w:i/>
          <w:iCs/>
          <w:sz w:val="28"/>
          <w:szCs w:val="24"/>
        </w:rPr>
        <w:t>FYRST</w:t>
      </w:r>
      <w:r w:rsidR="00920772" w:rsidRPr="00F223B0">
        <w:rPr>
          <w:i/>
          <w:iCs/>
          <w:sz w:val="28"/>
          <w:szCs w:val="24"/>
        </w:rPr>
        <w:t>)</w:t>
      </w:r>
      <w:r w:rsidR="0002281C" w:rsidRPr="00920772">
        <w:rPr>
          <w:rStyle w:val="FootnoteReference"/>
          <w:i/>
          <w:iCs/>
          <w:sz w:val="28"/>
          <w:szCs w:val="24"/>
        </w:rPr>
        <w:footnoteReference w:id="2"/>
      </w:r>
      <w:r w:rsidR="0002281C" w:rsidRPr="00F223B0">
        <w:rPr>
          <w:i/>
          <w:iCs/>
          <w:sz w:val="28"/>
          <w:szCs w:val="24"/>
        </w:rPr>
        <w:t xml:space="preserve"> 2013 wave</w:t>
      </w:r>
    </w:p>
    <w:p w14:paraId="076E04A1" w14:textId="3C398D3F" w:rsidR="00383A51" w:rsidRPr="00920772" w:rsidRDefault="00F223B0" w:rsidP="00920772">
      <w:pPr>
        <w:pStyle w:val="ListParagraph"/>
        <w:numPr>
          <w:ilvl w:val="0"/>
          <w:numId w:val="1"/>
        </w:numPr>
        <w:spacing w:before="163" w:after="163" w:line="240" w:lineRule="auto"/>
        <w:ind w:firstLineChars="0"/>
        <w:rPr>
          <w:sz w:val="28"/>
          <w:szCs w:val="24"/>
        </w:rPr>
      </w:pPr>
      <w:r>
        <w:rPr>
          <w:sz w:val="28"/>
          <w:szCs w:val="24"/>
        </w:rPr>
        <w:t xml:space="preserve">Measurements </w:t>
      </w:r>
      <w:r w:rsidR="00F70942">
        <w:rPr>
          <w:sz w:val="28"/>
          <w:szCs w:val="24"/>
        </w:rPr>
        <w:t xml:space="preserve">available </w:t>
      </w:r>
      <w:r>
        <w:rPr>
          <w:sz w:val="28"/>
          <w:szCs w:val="24"/>
        </w:rPr>
        <w:t xml:space="preserve">on </w:t>
      </w:r>
      <w:r w:rsidR="00F70942">
        <w:rPr>
          <w:sz w:val="28"/>
          <w:szCs w:val="24"/>
        </w:rPr>
        <w:t xml:space="preserve">respondent </w:t>
      </w:r>
      <w:r>
        <w:rPr>
          <w:sz w:val="28"/>
          <w:szCs w:val="24"/>
        </w:rPr>
        <w:t>and spousal parents’</w:t>
      </w:r>
      <w:r w:rsidR="00F70942">
        <w:rPr>
          <w:sz w:val="28"/>
          <w:szCs w:val="24"/>
        </w:rPr>
        <w:t xml:space="preserve"> SES and</w:t>
      </w:r>
      <w:r>
        <w:rPr>
          <w:sz w:val="28"/>
          <w:szCs w:val="24"/>
        </w:rPr>
        <w:t xml:space="preserve"> ownership.</w:t>
      </w:r>
    </w:p>
    <w:p w14:paraId="6890490C" w14:textId="30AD67A5" w:rsidR="00E962D6" w:rsidRPr="00920772" w:rsidRDefault="00E65441" w:rsidP="00920772">
      <w:pPr>
        <w:pStyle w:val="ListParagraph"/>
        <w:numPr>
          <w:ilvl w:val="0"/>
          <w:numId w:val="1"/>
        </w:numPr>
        <w:spacing w:before="163" w:after="163" w:line="240" w:lineRule="auto"/>
        <w:ind w:firstLineChars="0"/>
        <w:rPr>
          <w:sz w:val="28"/>
          <w:szCs w:val="24"/>
        </w:rPr>
      </w:pPr>
      <w:r w:rsidRPr="00920772">
        <w:rPr>
          <w:sz w:val="28"/>
          <w:szCs w:val="24"/>
        </w:rPr>
        <w:t>General</w:t>
      </w:r>
      <w:r w:rsidR="00E962D6" w:rsidRPr="00920772">
        <w:rPr>
          <w:sz w:val="28"/>
          <w:szCs w:val="24"/>
        </w:rPr>
        <w:t xml:space="preserve">: </w:t>
      </w:r>
      <w:hyperlink r:id="rId8" w:history="1">
        <w:r w:rsidR="00E962D6" w:rsidRPr="00920772">
          <w:rPr>
            <w:rStyle w:val="Hyperlink"/>
            <w:sz w:val="28"/>
            <w:szCs w:val="24"/>
          </w:rPr>
          <w:t>https://www.tandfonline.com/doi/abs/10.1080/02673037.2019.1648771</w:t>
        </w:r>
      </w:hyperlink>
      <w:r w:rsidRPr="00920772">
        <w:rPr>
          <w:sz w:val="28"/>
          <w:szCs w:val="24"/>
        </w:rPr>
        <w:t xml:space="preserve"> </w:t>
      </w:r>
    </w:p>
    <w:p w14:paraId="7CA2515C" w14:textId="284C6DDC" w:rsidR="00920772" w:rsidRPr="00920772" w:rsidRDefault="00E65441" w:rsidP="00920772">
      <w:pPr>
        <w:pStyle w:val="ListParagraph"/>
        <w:numPr>
          <w:ilvl w:val="0"/>
          <w:numId w:val="1"/>
        </w:numPr>
        <w:spacing w:before="163" w:after="163" w:line="240" w:lineRule="auto"/>
        <w:ind w:firstLineChars="0"/>
        <w:rPr>
          <w:sz w:val="28"/>
          <w:szCs w:val="24"/>
        </w:rPr>
      </w:pPr>
      <w:r w:rsidRPr="00920772">
        <w:rPr>
          <w:rFonts w:hint="eastAsia"/>
          <w:sz w:val="28"/>
          <w:szCs w:val="24"/>
        </w:rPr>
        <w:t>G</w:t>
      </w:r>
      <w:r w:rsidRPr="00920772">
        <w:rPr>
          <w:sz w:val="28"/>
          <w:szCs w:val="24"/>
        </w:rPr>
        <w:t xml:space="preserve">ender: </w:t>
      </w:r>
      <w:hyperlink r:id="rId9" w:history="1">
        <w:r w:rsidRPr="00920772">
          <w:rPr>
            <w:rStyle w:val="Hyperlink"/>
            <w:sz w:val="28"/>
            <w:szCs w:val="24"/>
          </w:rPr>
          <w:t>https://onlinelibrary.wiley.com/doi/full/10.1002/psp.2428</w:t>
        </w:r>
      </w:hyperlink>
      <w:r w:rsidRPr="00920772">
        <w:rPr>
          <w:sz w:val="28"/>
          <w:szCs w:val="24"/>
        </w:rPr>
        <w:t xml:space="preserve"> </w:t>
      </w:r>
    </w:p>
    <w:p w14:paraId="6821984E" w14:textId="4721882D" w:rsidR="00920772" w:rsidRPr="00F223B0" w:rsidRDefault="00920772" w:rsidP="00F223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rPr>
          <w:i/>
          <w:sz w:val="28"/>
          <w:szCs w:val="24"/>
        </w:rPr>
      </w:pPr>
      <w:r w:rsidRPr="00F223B0">
        <w:rPr>
          <w:i/>
          <w:sz w:val="28"/>
          <w:szCs w:val="24"/>
        </w:rPr>
        <w:t>Chinese Household Finance Survey</w:t>
      </w:r>
      <w:r w:rsidR="00EA4757" w:rsidRPr="00F223B0">
        <w:rPr>
          <w:i/>
          <w:sz w:val="28"/>
          <w:szCs w:val="24"/>
        </w:rPr>
        <w:t xml:space="preserve"> (CHFS)</w:t>
      </w:r>
      <w:r w:rsidRPr="00920772">
        <w:rPr>
          <w:rStyle w:val="FootnoteReference"/>
          <w:i/>
          <w:sz w:val="28"/>
          <w:szCs w:val="24"/>
        </w:rPr>
        <w:footnoteReference w:id="3"/>
      </w:r>
      <w:r w:rsidRPr="00F223B0">
        <w:rPr>
          <w:i/>
          <w:sz w:val="28"/>
          <w:szCs w:val="24"/>
        </w:rPr>
        <w:t xml:space="preserve"> 2017 wave</w:t>
      </w:r>
    </w:p>
    <w:p w14:paraId="6BDCCC5D" w14:textId="4D4EE2F2" w:rsidR="00920772" w:rsidRPr="00920772" w:rsidRDefault="00920772" w:rsidP="00920772">
      <w:pPr>
        <w:pStyle w:val="ListParagraph"/>
        <w:numPr>
          <w:ilvl w:val="0"/>
          <w:numId w:val="1"/>
        </w:numPr>
        <w:spacing w:before="163" w:after="163" w:line="240" w:lineRule="auto"/>
        <w:ind w:firstLineChars="0"/>
        <w:rPr>
          <w:sz w:val="28"/>
          <w:szCs w:val="24"/>
        </w:rPr>
      </w:pPr>
      <w:r w:rsidRPr="00920772">
        <w:rPr>
          <w:sz w:val="28"/>
          <w:szCs w:val="24"/>
        </w:rPr>
        <w:t>Good details on children’s net worth</w:t>
      </w:r>
      <w:r w:rsidR="00F223B0">
        <w:rPr>
          <w:sz w:val="28"/>
          <w:szCs w:val="24"/>
        </w:rPr>
        <w:t xml:space="preserve">; </w:t>
      </w:r>
      <w:r w:rsidRPr="00920772">
        <w:rPr>
          <w:sz w:val="28"/>
          <w:szCs w:val="24"/>
        </w:rPr>
        <w:t>no information on parents’ home ownership</w:t>
      </w:r>
      <w:r w:rsidR="00F223B0">
        <w:rPr>
          <w:sz w:val="28"/>
          <w:szCs w:val="24"/>
        </w:rPr>
        <w:t>.</w:t>
      </w:r>
    </w:p>
    <w:p w14:paraId="44DB2B61" w14:textId="77777777" w:rsidR="00920772" w:rsidRDefault="00920772" w:rsidP="00920772">
      <w:pPr>
        <w:pStyle w:val="ListParagraph"/>
        <w:numPr>
          <w:ilvl w:val="0"/>
          <w:numId w:val="1"/>
        </w:numPr>
        <w:spacing w:before="163" w:after="163" w:line="240" w:lineRule="auto"/>
        <w:ind w:firstLineChars="0"/>
        <w:rPr>
          <w:sz w:val="28"/>
          <w:szCs w:val="24"/>
        </w:rPr>
      </w:pPr>
      <w:r w:rsidRPr="00920772">
        <w:rPr>
          <w:sz w:val="28"/>
          <w:szCs w:val="24"/>
        </w:rPr>
        <w:t xml:space="preserve">Market vs. State vs. Family: </w:t>
      </w:r>
    </w:p>
    <w:p w14:paraId="7AD3F06E" w14:textId="2AAFDDE9" w:rsidR="00920772" w:rsidRDefault="00437777" w:rsidP="00920772">
      <w:pPr>
        <w:pStyle w:val="ListParagraph"/>
        <w:spacing w:before="163" w:after="163" w:line="240" w:lineRule="auto"/>
        <w:ind w:left="600" w:firstLineChars="0" w:firstLine="0"/>
        <w:rPr>
          <w:sz w:val="28"/>
          <w:szCs w:val="24"/>
        </w:rPr>
      </w:pPr>
      <w:hyperlink r:id="rId10" w:history="1">
        <w:r w:rsidR="00920772" w:rsidRPr="004E49F0">
          <w:rPr>
            <w:rStyle w:val="Hyperlink"/>
            <w:sz w:val="28"/>
            <w:szCs w:val="24"/>
          </w:rPr>
          <w:t>https://link.springer.com/article/10.1007%2Fs10901-020-09740-w</w:t>
        </w:r>
      </w:hyperlink>
      <w:r w:rsidR="00920772" w:rsidRPr="00920772">
        <w:rPr>
          <w:sz w:val="28"/>
          <w:szCs w:val="24"/>
        </w:rPr>
        <w:t xml:space="preserve"> </w:t>
      </w:r>
    </w:p>
    <w:p w14:paraId="255410F6" w14:textId="0D3AAA1F" w:rsidR="00920772" w:rsidRDefault="00437777" w:rsidP="00EA4757">
      <w:pPr>
        <w:pStyle w:val="ListParagraph"/>
        <w:spacing w:before="163" w:after="163" w:line="240" w:lineRule="auto"/>
        <w:ind w:left="600" w:firstLineChars="0" w:firstLine="0"/>
        <w:rPr>
          <w:sz w:val="28"/>
          <w:szCs w:val="24"/>
        </w:rPr>
      </w:pPr>
      <w:hyperlink r:id="rId11" w:history="1">
        <w:r w:rsidR="00920772" w:rsidRPr="004E49F0">
          <w:rPr>
            <w:rStyle w:val="Hyperlink"/>
            <w:sz w:val="28"/>
            <w:szCs w:val="24"/>
          </w:rPr>
          <w:t>https://link.springer.com/article/10.1007/s10901-019-09664-0</w:t>
        </w:r>
      </w:hyperlink>
      <w:r w:rsidR="00920772" w:rsidRPr="00920772">
        <w:rPr>
          <w:sz w:val="28"/>
          <w:szCs w:val="24"/>
        </w:rPr>
        <w:t xml:space="preserve"> </w:t>
      </w:r>
    </w:p>
    <w:p w14:paraId="69B0FD6A" w14:textId="1C120A19" w:rsidR="00EA4757" w:rsidRPr="00F223B0" w:rsidRDefault="00EA4757" w:rsidP="00F223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rPr>
          <w:i/>
          <w:sz w:val="28"/>
          <w:szCs w:val="28"/>
        </w:rPr>
      </w:pPr>
      <w:r w:rsidRPr="00F223B0">
        <w:rPr>
          <w:i/>
          <w:sz w:val="28"/>
          <w:szCs w:val="28"/>
        </w:rPr>
        <w:t>China Family Panel Studies</w:t>
      </w:r>
      <w:r w:rsidR="00F223B0" w:rsidRPr="00F223B0">
        <w:rPr>
          <w:i/>
          <w:sz w:val="28"/>
          <w:szCs w:val="28"/>
        </w:rPr>
        <w:t xml:space="preserve"> (CFPS)</w:t>
      </w:r>
      <w:r>
        <w:rPr>
          <w:rStyle w:val="FootnoteReference"/>
          <w:i/>
          <w:sz w:val="28"/>
          <w:szCs w:val="28"/>
        </w:rPr>
        <w:footnoteReference w:id="4"/>
      </w:r>
      <w:r w:rsidR="00F223B0" w:rsidRPr="00F223B0">
        <w:rPr>
          <w:i/>
          <w:sz w:val="28"/>
          <w:szCs w:val="28"/>
        </w:rPr>
        <w:t xml:space="preserve"> 2018 wave</w:t>
      </w:r>
    </w:p>
    <w:p w14:paraId="15F07B8D" w14:textId="21EB98D3" w:rsidR="00EA4757" w:rsidRPr="00F223B0" w:rsidRDefault="00F70942" w:rsidP="00F223B0">
      <w:pPr>
        <w:pStyle w:val="ListParagraph"/>
        <w:numPr>
          <w:ilvl w:val="0"/>
          <w:numId w:val="1"/>
        </w:numPr>
        <w:spacing w:before="163" w:after="163" w:line="240" w:lineRule="auto"/>
        <w:ind w:firstLineChars="0"/>
        <w:rPr>
          <w:sz w:val="28"/>
          <w:szCs w:val="24"/>
        </w:rPr>
      </w:pPr>
      <w:r>
        <w:rPr>
          <w:sz w:val="28"/>
          <w:szCs w:val="24"/>
        </w:rPr>
        <w:t>R</w:t>
      </w:r>
      <w:r>
        <w:rPr>
          <w:sz w:val="28"/>
          <w:szCs w:val="24"/>
        </w:rPr>
        <w:t xml:space="preserve">espondent </w:t>
      </w:r>
      <w:r w:rsidR="00F223B0">
        <w:rPr>
          <w:sz w:val="28"/>
          <w:szCs w:val="24"/>
        </w:rPr>
        <w:t>and spousal parent</w:t>
      </w:r>
      <w:r>
        <w:rPr>
          <w:sz w:val="28"/>
          <w:szCs w:val="24"/>
        </w:rPr>
        <w:t>al</w:t>
      </w:r>
      <w:r w:rsidR="00F223B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SES </w:t>
      </w:r>
      <w:r w:rsidR="00F223B0">
        <w:rPr>
          <w:sz w:val="28"/>
          <w:szCs w:val="24"/>
        </w:rPr>
        <w:t>available</w:t>
      </w:r>
      <w:r>
        <w:rPr>
          <w:sz w:val="28"/>
          <w:szCs w:val="24"/>
        </w:rPr>
        <w:t xml:space="preserve"> (education, occupation, but not asset)</w:t>
      </w:r>
      <w:r w:rsidR="00F223B0">
        <w:rPr>
          <w:sz w:val="28"/>
          <w:szCs w:val="24"/>
        </w:rPr>
        <w:t xml:space="preserve"> </w:t>
      </w:r>
    </w:p>
    <w:p w14:paraId="4EDFA258" w14:textId="31857BBC" w:rsidR="00821ADC" w:rsidRPr="00F223B0" w:rsidRDefault="00821ADC" w:rsidP="00F223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40" w:lineRule="auto"/>
        <w:ind w:firstLineChars="0"/>
        <w:rPr>
          <w:i/>
          <w:sz w:val="28"/>
          <w:szCs w:val="28"/>
        </w:rPr>
      </w:pPr>
      <w:r w:rsidRPr="00F223B0">
        <w:rPr>
          <w:i/>
          <w:sz w:val="28"/>
          <w:szCs w:val="28"/>
        </w:rPr>
        <w:t>Chinese General Social Survey</w:t>
      </w:r>
      <w:r w:rsidR="00EA4757" w:rsidRPr="00F223B0">
        <w:rPr>
          <w:i/>
          <w:sz w:val="28"/>
          <w:szCs w:val="28"/>
        </w:rPr>
        <w:t xml:space="preserve"> (CGSS)</w:t>
      </w:r>
      <w:r w:rsidR="0002281C" w:rsidRPr="00920772">
        <w:rPr>
          <w:rStyle w:val="FootnoteReference"/>
          <w:i/>
          <w:sz w:val="28"/>
          <w:szCs w:val="28"/>
        </w:rPr>
        <w:footnoteReference w:id="5"/>
      </w:r>
      <w:r w:rsidR="0002281C" w:rsidRPr="00F223B0">
        <w:rPr>
          <w:i/>
          <w:sz w:val="28"/>
          <w:szCs w:val="28"/>
        </w:rPr>
        <w:t xml:space="preserve"> 2017 wave</w:t>
      </w:r>
    </w:p>
    <w:p w14:paraId="3187A148" w14:textId="77777777" w:rsidR="00920772" w:rsidRDefault="00821ADC" w:rsidP="00920772">
      <w:pPr>
        <w:pStyle w:val="ListParagraph"/>
        <w:numPr>
          <w:ilvl w:val="0"/>
          <w:numId w:val="1"/>
        </w:numPr>
        <w:spacing w:before="163" w:after="163" w:line="240" w:lineRule="auto"/>
        <w:ind w:firstLineChars="0"/>
        <w:rPr>
          <w:sz w:val="28"/>
          <w:szCs w:val="24"/>
        </w:rPr>
      </w:pPr>
      <w:r w:rsidRPr="00920772">
        <w:rPr>
          <w:sz w:val="28"/>
          <w:szCs w:val="24"/>
        </w:rPr>
        <w:t>Mobility safety net:</w:t>
      </w:r>
    </w:p>
    <w:p w14:paraId="64D0E8DA" w14:textId="436EB2AD" w:rsidR="0002281C" w:rsidRPr="00920772" w:rsidRDefault="00437777" w:rsidP="00920772">
      <w:pPr>
        <w:pStyle w:val="ListParagraph"/>
        <w:spacing w:before="163" w:after="163" w:line="240" w:lineRule="auto"/>
        <w:ind w:left="600" w:firstLineChars="0" w:firstLine="0"/>
        <w:rPr>
          <w:sz w:val="28"/>
          <w:szCs w:val="24"/>
        </w:rPr>
      </w:pPr>
      <w:hyperlink r:id="rId12" w:history="1">
        <w:r w:rsidR="00920772" w:rsidRPr="004E49F0">
          <w:rPr>
            <w:rStyle w:val="Hyperlink"/>
            <w:sz w:val="28"/>
            <w:szCs w:val="24"/>
          </w:rPr>
          <w:t>https://journals.sagepub.com/doi/full/10.1177/2057150X18792835</w:t>
        </w:r>
      </w:hyperlink>
    </w:p>
    <w:sectPr w:rsidR="0002281C" w:rsidRPr="00920772" w:rsidSect="007D5EC0">
      <w:pgSz w:w="11906" w:h="16838"/>
      <w:pgMar w:top="1440" w:right="1083" w:bottom="1440" w:left="1083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49394" w14:textId="77777777" w:rsidR="00437777" w:rsidRDefault="00437777" w:rsidP="00803851">
      <w:pPr>
        <w:spacing w:line="240" w:lineRule="auto"/>
      </w:pPr>
      <w:r>
        <w:separator/>
      </w:r>
    </w:p>
  </w:endnote>
  <w:endnote w:type="continuationSeparator" w:id="0">
    <w:p w14:paraId="44659C4E" w14:textId="77777777" w:rsidR="00437777" w:rsidRDefault="00437777" w:rsidP="008038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AB5F3" w14:textId="77777777" w:rsidR="00437777" w:rsidRDefault="00437777" w:rsidP="00803851">
      <w:pPr>
        <w:spacing w:line="240" w:lineRule="auto"/>
      </w:pPr>
      <w:r>
        <w:separator/>
      </w:r>
    </w:p>
  </w:footnote>
  <w:footnote w:type="continuationSeparator" w:id="0">
    <w:p w14:paraId="517D8A5E" w14:textId="77777777" w:rsidR="00437777" w:rsidRDefault="00437777" w:rsidP="00803851">
      <w:pPr>
        <w:spacing w:line="240" w:lineRule="auto"/>
      </w:pPr>
      <w:r>
        <w:continuationSeparator/>
      </w:r>
    </w:p>
  </w:footnote>
  <w:footnote w:id="1">
    <w:p w14:paraId="39734D4A" w14:textId="2862428B" w:rsidR="00803851" w:rsidRDefault="008038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E49F0">
          <w:rPr>
            <w:rStyle w:val="Hyperlink"/>
          </w:rPr>
          <w:t>https://academic.oup.com/ije/article/43/1/61/730708</w:t>
        </w:r>
      </w:hyperlink>
      <w:r>
        <w:t xml:space="preserve"> </w:t>
      </w:r>
    </w:p>
  </w:footnote>
  <w:footnote w:id="2">
    <w:p w14:paraId="3B9089B3" w14:textId="66C9B4F0" w:rsidR="0002281C" w:rsidRDefault="000228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4E49F0">
          <w:rPr>
            <w:rStyle w:val="Hyperlink"/>
          </w:rPr>
          <w:t>https://www.asiaportal.info/database/fudan-university-social-science-data-repository/</w:t>
        </w:r>
      </w:hyperlink>
      <w:r>
        <w:t xml:space="preserve"> </w:t>
      </w:r>
    </w:p>
  </w:footnote>
  <w:footnote w:id="3">
    <w:p w14:paraId="50D789CC" w14:textId="77777777" w:rsidR="00920772" w:rsidRDefault="00920772" w:rsidP="009207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4E49F0">
          <w:rPr>
            <w:rStyle w:val="Hyperlink"/>
          </w:rPr>
          <w:t>https://link.springer.com/book/10.1007%2F978-3-642-38151-5</w:t>
        </w:r>
      </w:hyperlink>
      <w:r>
        <w:t xml:space="preserve"> </w:t>
      </w:r>
    </w:p>
  </w:footnote>
  <w:footnote w:id="4">
    <w:p w14:paraId="2C161ECC" w14:textId="443DADA0" w:rsidR="00EA4757" w:rsidRPr="00EA4757" w:rsidRDefault="00EA475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4E49F0">
          <w:rPr>
            <w:rStyle w:val="Hyperlink"/>
          </w:rPr>
          <w:t>https://www.tandfonline.com/doi/abs/10.2753/CSA2162-0555470101.2014.11082908</w:t>
        </w:r>
      </w:hyperlink>
      <w:r>
        <w:t xml:space="preserve"> </w:t>
      </w:r>
    </w:p>
  </w:footnote>
  <w:footnote w:id="5">
    <w:p w14:paraId="6AB2B726" w14:textId="78C16C09" w:rsidR="0002281C" w:rsidRDefault="000228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E49F0">
          <w:rPr>
            <w:rStyle w:val="Hyperlink"/>
          </w:rPr>
          <w:t>https://www.tandfonline.com/doi/abs/10.2753/CSA2162-0555450104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F4F30"/>
    <w:multiLevelType w:val="hybridMultilevel"/>
    <w:tmpl w:val="E4121B74"/>
    <w:lvl w:ilvl="0" w:tplc="93524EA0">
      <w:start w:val="2021"/>
      <w:numFmt w:val="bullet"/>
      <w:lvlText w:val="-"/>
      <w:lvlJc w:val="left"/>
      <w:pPr>
        <w:ind w:left="600" w:hanging="360"/>
      </w:pPr>
      <w:rPr>
        <w:rFonts w:ascii="Times New Roman" w:eastAsia="仿宋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707B60C4"/>
    <w:multiLevelType w:val="hybridMultilevel"/>
    <w:tmpl w:val="CB1462BA"/>
    <w:lvl w:ilvl="0" w:tplc="5CEE9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AyILMwsjc2NTCxNLMyUdpeDU4uLM/DyQAqNaALgTJqAsAAAA"/>
  </w:docVars>
  <w:rsids>
    <w:rsidRoot w:val="0011636F"/>
    <w:rsid w:val="0002281C"/>
    <w:rsid w:val="0011636F"/>
    <w:rsid w:val="00383A51"/>
    <w:rsid w:val="00437777"/>
    <w:rsid w:val="007D5EC0"/>
    <w:rsid w:val="00803851"/>
    <w:rsid w:val="00821ADC"/>
    <w:rsid w:val="008B15EC"/>
    <w:rsid w:val="00920772"/>
    <w:rsid w:val="00D4260B"/>
    <w:rsid w:val="00E65441"/>
    <w:rsid w:val="00E962D6"/>
    <w:rsid w:val="00EA4757"/>
    <w:rsid w:val="00F223B0"/>
    <w:rsid w:val="00F7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5B0B"/>
  <w15:chartTrackingRefBased/>
  <w15:docId w15:val="{455AE65C-2C43-4FD7-B9C4-4ADAB39F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" w:hAnsi="Times New Roman" w:cs="Times New Roman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36F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851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8038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803851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E654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abs/10.1080/02673037.2019.164877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ournals.sagepub.com/doi/full/10.1177/2057150X1879283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.springer.com/article/10.1007/s10901-019-09664-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article/10.1007%2Fs10901-020-09740-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library.wiley.com/doi/full/10.1002/psp.2428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link.springer.com/book/10.1007%2F978-3-642-38151-5" TargetMode="External"/><Relationship Id="rId2" Type="http://schemas.openxmlformats.org/officeDocument/2006/relationships/hyperlink" Target="https://www.asiaportal.info/database/fudan-university-social-science-data-repository/" TargetMode="External"/><Relationship Id="rId1" Type="http://schemas.openxmlformats.org/officeDocument/2006/relationships/hyperlink" Target="https://academic.oup.com/ije/article/43/1/61/730708" TargetMode="External"/><Relationship Id="rId5" Type="http://schemas.openxmlformats.org/officeDocument/2006/relationships/hyperlink" Target="https://www.tandfonline.com/doi/abs/10.2753/CSA2162-0555450104" TargetMode="External"/><Relationship Id="rId4" Type="http://schemas.openxmlformats.org/officeDocument/2006/relationships/hyperlink" Target="https://www.tandfonline.com/doi/abs/10.2753/CSA2162-0555470101.2014.110829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4BC18B7-67DB-4F86-9DD2-B4B697EB2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Langyi</dc:creator>
  <cp:keywords/>
  <dc:description/>
  <cp:lastModifiedBy>Tian Langyi</cp:lastModifiedBy>
  <cp:revision>2</cp:revision>
  <dcterms:created xsi:type="dcterms:W3CDTF">2021-04-19T01:17:00Z</dcterms:created>
  <dcterms:modified xsi:type="dcterms:W3CDTF">2021-04-19T03:55:00Z</dcterms:modified>
</cp:coreProperties>
</file>