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E320" w14:textId="09FD5C19" w:rsidR="00027C52" w:rsidRPr="00633FF3" w:rsidRDefault="00633FF3" w:rsidP="00027C52">
      <w:pPr>
        <w:spacing w:before="163" w:after="163" w:line="240" w:lineRule="auto"/>
        <w:rPr>
          <w:b/>
          <w:bCs/>
          <w:sz w:val="21"/>
          <w:szCs w:val="20"/>
        </w:rPr>
      </w:pPr>
      <w:bookmarkStart w:id="0" w:name="_GoBack"/>
      <w:r w:rsidRPr="00633FF3">
        <w:rPr>
          <w:b/>
          <w:bCs/>
          <w:sz w:val="21"/>
          <w:szCs w:val="20"/>
        </w:rPr>
        <w:t xml:space="preserve">Familial patterns in </w:t>
      </w:r>
      <w:r>
        <w:rPr>
          <w:b/>
          <w:bCs/>
          <w:sz w:val="21"/>
          <w:szCs w:val="20"/>
        </w:rPr>
        <w:t>asset building support</w:t>
      </w:r>
      <w:r w:rsidR="00027C52" w:rsidRPr="00633FF3">
        <w:rPr>
          <w:b/>
          <w:bCs/>
          <w:sz w:val="21"/>
          <w:szCs w:val="20"/>
        </w:rPr>
        <w:t>: co</w:t>
      </w:r>
      <w:r>
        <w:rPr>
          <w:b/>
          <w:bCs/>
          <w:sz w:val="21"/>
          <w:szCs w:val="20"/>
        </w:rPr>
        <w:t>mparing</w:t>
      </w:r>
      <w:r w:rsidR="00027C52" w:rsidRPr="00633FF3">
        <w:rPr>
          <w:b/>
          <w:bCs/>
          <w:sz w:val="21"/>
          <w:szCs w:val="20"/>
        </w:rPr>
        <w:t xml:space="preserve"> local and migrants</w:t>
      </w:r>
      <w:r w:rsidRPr="00633FF3">
        <w:rPr>
          <w:b/>
          <w:bCs/>
          <w:sz w:val="21"/>
          <w:szCs w:val="20"/>
        </w:rPr>
        <w:t xml:space="preserve"> in urban China</w:t>
      </w:r>
    </w:p>
    <w:p w14:paraId="369C13DF" w14:textId="4AE4207E" w:rsidR="00027C52" w:rsidRDefault="00027C52" w:rsidP="00027C52">
      <w:pPr>
        <w:spacing w:before="163" w:after="163" w:line="240" w:lineRule="auto"/>
        <w:rPr>
          <w:sz w:val="21"/>
          <w:szCs w:val="20"/>
        </w:rPr>
      </w:pPr>
      <w:r>
        <w:rPr>
          <w:rFonts w:hint="eastAsia"/>
          <w:sz w:val="21"/>
          <w:szCs w:val="20"/>
        </w:rPr>
        <w:t>L</w:t>
      </w:r>
      <w:r>
        <w:rPr>
          <w:sz w:val="21"/>
          <w:szCs w:val="20"/>
        </w:rPr>
        <w:t>angyi Tian</w:t>
      </w:r>
    </w:p>
    <w:p w14:paraId="2CBF5FA9" w14:textId="77777777" w:rsidR="00633FF3" w:rsidRDefault="00633FF3" w:rsidP="00027C52">
      <w:pPr>
        <w:spacing w:before="163" w:after="163" w:line="240" w:lineRule="auto"/>
        <w:rPr>
          <w:sz w:val="21"/>
          <w:szCs w:val="20"/>
        </w:rPr>
      </w:pPr>
    </w:p>
    <w:p w14:paraId="14D37F65" w14:textId="459F8EAC" w:rsidR="0088243A" w:rsidRPr="007A4668" w:rsidRDefault="00453CAE" w:rsidP="00E356B7">
      <w:pPr>
        <w:spacing w:before="163" w:after="163" w:line="240" w:lineRule="auto"/>
        <w:ind w:firstLineChars="200" w:firstLine="420"/>
        <w:rPr>
          <w:sz w:val="21"/>
          <w:szCs w:val="20"/>
        </w:rPr>
      </w:pPr>
      <w:r>
        <w:rPr>
          <w:sz w:val="21"/>
          <w:szCs w:val="20"/>
        </w:rPr>
        <w:t>W</w:t>
      </w:r>
      <w:r w:rsidR="002F4015">
        <w:rPr>
          <w:sz w:val="21"/>
          <w:szCs w:val="20"/>
        </w:rPr>
        <w:t xml:space="preserve">e </w:t>
      </w:r>
      <w:r w:rsidR="00E356B7">
        <w:rPr>
          <w:sz w:val="21"/>
          <w:szCs w:val="20"/>
        </w:rPr>
        <w:t>aim to</w:t>
      </w:r>
      <w:r w:rsidR="002F4015">
        <w:rPr>
          <w:sz w:val="21"/>
          <w:szCs w:val="20"/>
        </w:rPr>
        <w:t xml:space="preserve"> understand how the preference</w:t>
      </w:r>
      <w:r>
        <w:rPr>
          <w:sz w:val="21"/>
          <w:szCs w:val="20"/>
        </w:rPr>
        <w:t xml:space="preserve"> </w:t>
      </w:r>
      <w:r w:rsidR="00D052A1">
        <w:rPr>
          <w:sz w:val="21"/>
          <w:szCs w:val="20"/>
        </w:rPr>
        <w:t>for</w:t>
      </w:r>
      <w:r w:rsidR="002F4015">
        <w:rPr>
          <w:sz w:val="21"/>
          <w:szCs w:val="20"/>
        </w:rPr>
        <w:t xml:space="preserve"> intergenerational transfer would shape children’s opportunity to accumulate home wealth</w:t>
      </w:r>
      <w:r w:rsidR="00E356B7">
        <w:rPr>
          <w:sz w:val="21"/>
          <w:szCs w:val="20"/>
        </w:rPr>
        <w:t>. More precisely, we conduct a specific comparison between</w:t>
      </w:r>
      <w:r>
        <w:rPr>
          <w:sz w:val="21"/>
          <w:szCs w:val="20"/>
        </w:rPr>
        <w:t xml:space="preserve"> children living close to their parents (same city/county/district) and children otherwise living far away from their parents</w:t>
      </w:r>
      <w:r w:rsidR="002F4015">
        <w:rPr>
          <w:sz w:val="21"/>
          <w:szCs w:val="20"/>
        </w:rPr>
        <w:t xml:space="preserve">. </w:t>
      </w:r>
      <w:r>
        <w:rPr>
          <w:sz w:val="21"/>
          <w:szCs w:val="20"/>
        </w:rPr>
        <w:t xml:space="preserve">For both </w:t>
      </w:r>
      <w:r w:rsidR="00E356B7">
        <w:rPr>
          <w:sz w:val="21"/>
          <w:szCs w:val="20"/>
        </w:rPr>
        <w:t>sub-</w:t>
      </w:r>
      <w:r>
        <w:rPr>
          <w:sz w:val="21"/>
          <w:szCs w:val="20"/>
        </w:rPr>
        <w:t>populations,</w:t>
      </w:r>
      <w:r w:rsidR="00E356B7">
        <w:rPr>
          <w:sz w:val="21"/>
          <w:szCs w:val="20"/>
        </w:rPr>
        <w:t xml:space="preserve"> using regressions analysis</w:t>
      </w:r>
      <w:r>
        <w:rPr>
          <w:sz w:val="21"/>
          <w:szCs w:val="20"/>
        </w:rPr>
        <w:t xml:space="preserve"> we control for attributes of child and spouse in the family and observe the direct impact </w:t>
      </w:r>
      <w:r w:rsidR="00D052A1">
        <w:rPr>
          <w:sz w:val="21"/>
          <w:szCs w:val="20"/>
        </w:rPr>
        <w:t>of</w:t>
      </w:r>
      <w:r>
        <w:rPr>
          <w:sz w:val="21"/>
          <w:szCs w:val="20"/>
        </w:rPr>
        <w:t xml:space="preserve"> parental socio-economic status. </w:t>
      </w:r>
      <w:r w:rsidR="00622EB5">
        <w:rPr>
          <w:sz w:val="21"/>
          <w:szCs w:val="20"/>
        </w:rPr>
        <w:t>The result shows that</w:t>
      </w:r>
      <w:r w:rsidR="007A4668" w:rsidRPr="007A4668">
        <w:rPr>
          <w:sz w:val="21"/>
          <w:szCs w:val="20"/>
        </w:rPr>
        <w:t xml:space="preserve"> among urban residents, children living closer to their parents received significant support in h</w:t>
      </w:r>
      <w:r w:rsidR="00622EB5">
        <w:rPr>
          <w:sz w:val="21"/>
          <w:szCs w:val="20"/>
        </w:rPr>
        <w:t>ousing</w:t>
      </w:r>
      <w:r w:rsidR="007A4668" w:rsidRPr="007A4668">
        <w:rPr>
          <w:sz w:val="21"/>
          <w:szCs w:val="20"/>
        </w:rPr>
        <w:t xml:space="preserve"> asset accumulation, while those far from their parents tend to rely on their self-achievements. </w:t>
      </w:r>
    </w:p>
    <w:p w14:paraId="567FD0D7" w14:textId="7E4AFCAB" w:rsidR="00A74008" w:rsidRDefault="00E356B7" w:rsidP="00E356B7">
      <w:pPr>
        <w:spacing w:before="163" w:after="163" w:line="240" w:lineRule="auto"/>
        <w:ind w:firstLineChars="200" w:firstLine="420"/>
        <w:rPr>
          <w:sz w:val="21"/>
          <w:szCs w:val="20"/>
        </w:rPr>
      </w:pPr>
      <w:r>
        <w:rPr>
          <w:sz w:val="21"/>
          <w:szCs w:val="20"/>
        </w:rPr>
        <w:t>Parental support operates through multiple channels, and we try to specify two channels to capture them.</w:t>
      </w:r>
      <w:r w:rsidR="00A74008">
        <w:rPr>
          <w:sz w:val="21"/>
          <w:szCs w:val="20"/>
        </w:rPr>
        <w:t xml:space="preserve"> The first channel is observable in the data: </w:t>
      </w:r>
      <w:r w:rsidR="00C948C9" w:rsidRPr="00C948C9">
        <w:rPr>
          <w:sz w:val="21"/>
          <w:szCs w:val="20"/>
        </w:rPr>
        <w:t xml:space="preserve">parents </w:t>
      </w:r>
      <w:r>
        <w:rPr>
          <w:sz w:val="21"/>
          <w:szCs w:val="20"/>
        </w:rPr>
        <w:t>might</w:t>
      </w:r>
      <w:r w:rsidR="00C948C9" w:rsidRPr="00C948C9">
        <w:rPr>
          <w:sz w:val="21"/>
          <w:szCs w:val="20"/>
        </w:rPr>
        <w:t xml:space="preserve"> buy their children </w:t>
      </w:r>
      <w:r w:rsidR="00622EB5">
        <w:rPr>
          <w:sz w:val="21"/>
          <w:szCs w:val="20"/>
        </w:rPr>
        <w:t>a house</w:t>
      </w:r>
      <w:r w:rsidR="00C948C9" w:rsidRPr="00C948C9">
        <w:rPr>
          <w:sz w:val="21"/>
          <w:szCs w:val="20"/>
        </w:rPr>
        <w:t xml:space="preserve"> from</w:t>
      </w:r>
      <w:r w:rsidR="00622EB5">
        <w:rPr>
          <w:sz w:val="21"/>
          <w:szCs w:val="20"/>
        </w:rPr>
        <w:t xml:space="preserve"> </w:t>
      </w:r>
      <w:r w:rsidR="00D052A1">
        <w:rPr>
          <w:sz w:val="21"/>
          <w:szCs w:val="20"/>
        </w:rPr>
        <w:t xml:space="preserve">the </w:t>
      </w:r>
      <w:r>
        <w:rPr>
          <w:sz w:val="21"/>
          <w:szCs w:val="20"/>
        </w:rPr>
        <w:t xml:space="preserve">real estate market </w:t>
      </w:r>
      <w:r w:rsidR="00C948C9" w:rsidRPr="00C948C9">
        <w:rPr>
          <w:sz w:val="21"/>
          <w:szCs w:val="20"/>
        </w:rPr>
        <w:t>as a gift upon their marriage</w:t>
      </w:r>
      <w:r>
        <w:rPr>
          <w:sz w:val="21"/>
          <w:szCs w:val="20"/>
        </w:rPr>
        <w:t>, as they would need to move out of the original family and form a new one</w:t>
      </w:r>
      <w:r w:rsidR="00C948C9" w:rsidRPr="00C948C9">
        <w:rPr>
          <w:sz w:val="21"/>
          <w:szCs w:val="20"/>
        </w:rPr>
        <w:t xml:space="preserve">. </w:t>
      </w:r>
      <w:r>
        <w:rPr>
          <w:sz w:val="21"/>
          <w:szCs w:val="20"/>
        </w:rPr>
        <w:t>This channel shows a strong gendered pattern</w:t>
      </w:r>
      <w:r w:rsidR="00D052A1">
        <w:rPr>
          <w:sz w:val="21"/>
          <w:szCs w:val="20"/>
        </w:rPr>
        <w:t xml:space="preserve"> as transfers</w:t>
      </w:r>
      <w:r>
        <w:rPr>
          <w:sz w:val="21"/>
          <w:szCs w:val="20"/>
        </w:rPr>
        <w:t xml:space="preserve"> </w:t>
      </w:r>
      <w:r w:rsidR="00C948C9" w:rsidRPr="00C948C9">
        <w:rPr>
          <w:sz w:val="21"/>
          <w:szCs w:val="20"/>
        </w:rPr>
        <w:t xml:space="preserve">occur almost exclusively between only male children and </w:t>
      </w:r>
      <w:r>
        <w:rPr>
          <w:sz w:val="21"/>
          <w:szCs w:val="20"/>
        </w:rPr>
        <w:t xml:space="preserve">their </w:t>
      </w:r>
      <w:r w:rsidR="00C948C9" w:rsidRPr="00C948C9">
        <w:rPr>
          <w:sz w:val="21"/>
          <w:szCs w:val="20"/>
        </w:rPr>
        <w:t>parents</w:t>
      </w:r>
      <w:r>
        <w:rPr>
          <w:sz w:val="21"/>
          <w:szCs w:val="20"/>
        </w:rPr>
        <w:t xml:space="preserve">. </w:t>
      </w:r>
      <w:r w:rsidRPr="00C948C9">
        <w:rPr>
          <w:sz w:val="21"/>
          <w:szCs w:val="20"/>
        </w:rPr>
        <w:t>544 out of 3,608 male children (15%) received such transfer, while only 37 out of 4,120 female children (1%) received it.</w:t>
      </w:r>
      <w:r>
        <w:rPr>
          <w:sz w:val="21"/>
          <w:szCs w:val="20"/>
        </w:rPr>
        <w:t xml:space="preserve"> </w:t>
      </w:r>
      <w:r w:rsidR="00A74008">
        <w:rPr>
          <w:sz w:val="21"/>
          <w:szCs w:val="20"/>
        </w:rPr>
        <w:t>Besides, living closer to parents would increase the likelihood of receiving the transfer</w:t>
      </w:r>
      <w:r>
        <w:rPr>
          <w:sz w:val="21"/>
          <w:szCs w:val="20"/>
        </w:rPr>
        <w:t>, shown by the first column of coefficients in logistic regression</w:t>
      </w:r>
      <w:r w:rsidRPr="00C948C9">
        <w:rPr>
          <w:sz w:val="21"/>
          <w:szCs w:val="20"/>
        </w:rPr>
        <w:t>.</w:t>
      </w:r>
    </w:p>
    <w:p w14:paraId="545FB7EF" w14:textId="77777777" w:rsidR="00392446" w:rsidRDefault="00A74008" w:rsidP="00887B28">
      <w:pPr>
        <w:spacing w:before="163" w:after="163" w:line="240" w:lineRule="auto"/>
        <w:ind w:firstLineChars="200" w:firstLine="420"/>
        <w:rPr>
          <w:sz w:val="21"/>
          <w:szCs w:val="20"/>
        </w:rPr>
      </w:pPr>
      <w:r>
        <w:rPr>
          <w:rFonts w:hint="eastAsia"/>
          <w:sz w:val="21"/>
          <w:szCs w:val="20"/>
        </w:rPr>
        <w:t>T</w:t>
      </w:r>
      <w:r>
        <w:rPr>
          <w:sz w:val="21"/>
          <w:szCs w:val="20"/>
        </w:rPr>
        <w:t>he second channel represents other channels that we cannot directly observe in the data</w:t>
      </w:r>
      <w:r w:rsidR="00E356B7">
        <w:rPr>
          <w:sz w:val="21"/>
          <w:szCs w:val="20"/>
        </w:rPr>
        <w:t xml:space="preserve">. </w:t>
      </w:r>
      <w:r w:rsidR="00887B28">
        <w:rPr>
          <w:sz w:val="21"/>
          <w:szCs w:val="20"/>
        </w:rPr>
        <w:t>P</w:t>
      </w:r>
      <w:r w:rsidR="00E356B7">
        <w:rPr>
          <w:sz w:val="21"/>
          <w:szCs w:val="20"/>
        </w:rPr>
        <w:t xml:space="preserve">arents can also finance </w:t>
      </w:r>
      <w:r>
        <w:rPr>
          <w:sz w:val="21"/>
          <w:szCs w:val="20"/>
        </w:rPr>
        <w:t xml:space="preserve">mortgages, down payments, </w:t>
      </w:r>
      <w:r w:rsidR="00E356B7">
        <w:rPr>
          <w:sz w:val="21"/>
          <w:szCs w:val="20"/>
        </w:rPr>
        <w:t>or transfer property ownership to the children</w:t>
      </w:r>
      <w:r>
        <w:rPr>
          <w:sz w:val="21"/>
          <w:szCs w:val="20"/>
        </w:rPr>
        <w:t>.</w:t>
      </w:r>
      <w:r w:rsidR="00E356B7">
        <w:rPr>
          <w:sz w:val="21"/>
          <w:szCs w:val="20"/>
        </w:rPr>
        <w:t xml:space="preserve"> We </w:t>
      </w:r>
      <w:r w:rsidR="00887B28">
        <w:rPr>
          <w:sz w:val="21"/>
          <w:szCs w:val="20"/>
        </w:rPr>
        <w:t xml:space="preserve">assume such indirect transfer can be observed by whether parents’ financial capacity (net worth) and other status has a significant impact on children’s homeownership or value controlling other factors. </w:t>
      </w:r>
    </w:p>
    <w:p w14:paraId="6ABD2B5B" w14:textId="77201EFE" w:rsidR="00633FF3" w:rsidRDefault="00622EB5" w:rsidP="00392446">
      <w:pPr>
        <w:spacing w:before="163" w:after="163" w:line="240" w:lineRule="auto"/>
        <w:ind w:firstLineChars="200" w:firstLine="420"/>
        <w:rPr>
          <w:sz w:val="21"/>
          <w:szCs w:val="20"/>
        </w:rPr>
      </w:pPr>
      <w:r>
        <w:rPr>
          <w:sz w:val="21"/>
          <w:szCs w:val="20"/>
        </w:rPr>
        <w:t>T</w:t>
      </w:r>
      <w:r w:rsidR="0088243A">
        <w:rPr>
          <w:sz w:val="21"/>
          <w:szCs w:val="20"/>
        </w:rPr>
        <w:t xml:space="preserve">he </w:t>
      </w:r>
      <w:r>
        <w:rPr>
          <w:sz w:val="21"/>
          <w:szCs w:val="20"/>
        </w:rPr>
        <w:t>result</w:t>
      </w:r>
      <w:r w:rsidR="0088243A">
        <w:rPr>
          <w:sz w:val="21"/>
          <w:szCs w:val="20"/>
        </w:rPr>
        <w:t xml:space="preserve"> shows</w:t>
      </w:r>
      <w:r>
        <w:rPr>
          <w:sz w:val="21"/>
          <w:szCs w:val="20"/>
        </w:rPr>
        <w:t xml:space="preserve"> </w:t>
      </w:r>
      <w:r w:rsidR="0088243A">
        <w:rPr>
          <w:sz w:val="21"/>
          <w:szCs w:val="20"/>
        </w:rPr>
        <w:t>strong</w:t>
      </w:r>
      <w:r w:rsidR="00887B28">
        <w:rPr>
          <w:sz w:val="21"/>
          <w:szCs w:val="20"/>
        </w:rPr>
        <w:t xml:space="preserve"> </w:t>
      </w:r>
      <w:r>
        <w:rPr>
          <w:sz w:val="21"/>
          <w:szCs w:val="20"/>
        </w:rPr>
        <w:t>parental support for children</w:t>
      </w:r>
      <w:r w:rsidR="00887B28">
        <w:rPr>
          <w:sz w:val="21"/>
          <w:szCs w:val="20"/>
        </w:rPr>
        <w:t xml:space="preserve"> close to parents, yet no parental impact on children who have migrated outside their town</w:t>
      </w:r>
      <w:r w:rsidR="0088243A">
        <w:rPr>
          <w:sz w:val="21"/>
          <w:szCs w:val="20"/>
        </w:rPr>
        <w:t>.</w:t>
      </w:r>
      <w:r w:rsidR="007A4668">
        <w:rPr>
          <w:sz w:val="21"/>
          <w:szCs w:val="20"/>
        </w:rPr>
        <w:t xml:space="preserve"> </w:t>
      </w:r>
      <w:r w:rsidR="00C948C9" w:rsidRPr="00C948C9">
        <w:rPr>
          <w:sz w:val="21"/>
          <w:szCs w:val="20"/>
        </w:rPr>
        <w:t>For children who live in the same city/county/district with their parents</w:t>
      </w:r>
      <w:r w:rsidR="007A4668">
        <w:rPr>
          <w:sz w:val="21"/>
          <w:szCs w:val="20"/>
        </w:rPr>
        <w:t xml:space="preserve"> (the second and third column of coefficients)</w:t>
      </w:r>
      <w:r w:rsidR="00C948C9" w:rsidRPr="00C948C9">
        <w:rPr>
          <w:sz w:val="21"/>
          <w:szCs w:val="20"/>
        </w:rPr>
        <w:t>, factors in the</w:t>
      </w:r>
      <w:r w:rsidR="0088243A">
        <w:rPr>
          <w:sz w:val="21"/>
          <w:szCs w:val="20"/>
        </w:rPr>
        <w:t xml:space="preserve">ir parental </w:t>
      </w:r>
      <w:r w:rsidR="00C948C9" w:rsidRPr="00C948C9">
        <w:rPr>
          <w:sz w:val="21"/>
          <w:szCs w:val="20"/>
        </w:rPr>
        <w:t xml:space="preserve">family are </w:t>
      </w:r>
      <w:r w:rsidR="00887B28">
        <w:rPr>
          <w:sz w:val="21"/>
          <w:szCs w:val="20"/>
        </w:rPr>
        <w:t>significant</w:t>
      </w:r>
      <w:r w:rsidR="00C948C9" w:rsidRPr="00C948C9">
        <w:rPr>
          <w:sz w:val="21"/>
          <w:szCs w:val="20"/>
        </w:rPr>
        <w:t xml:space="preserve"> in </w:t>
      </w:r>
      <w:r w:rsidR="007A4668">
        <w:rPr>
          <w:sz w:val="21"/>
          <w:szCs w:val="20"/>
        </w:rPr>
        <w:t>determining</w:t>
      </w:r>
      <w:r w:rsidR="00C948C9" w:rsidRPr="00C948C9">
        <w:rPr>
          <w:sz w:val="21"/>
          <w:szCs w:val="20"/>
        </w:rPr>
        <w:t xml:space="preserve"> their chance of homeownership</w:t>
      </w:r>
      <w:r w:rsidR="0088243A">
        <w:rPr>
          <w:sz w:val="21"/>
          <w:szCs w:val="20"/>
        </w:rPr>
        <w:t xml:space="preserve"> than many self-achievements</w:t>
      </w:r>
      <w:r w:rsidR="00C948C9" w:rsidRPr="00C948C9">
        <w:rPr>
          <w:sz w:val="21"/>
          <w:szCs w:val="20"/>
        </w:rPr>
        <w:t xml:space="preserve">. </w:t>
      </w:r>
      <w:r w:rsidR="00887B28">
        <w:rPr>
          <w:sz w:val="21"/>
          <w:szCs w:val="20"/>
        </w:rPr>
        <w:t xml:space="preserve">Nevertheless, the extent of support would vary by child’s original family (e.g. different number of siblings and rank of birth order) and parent’s capacity (e.g. level of education, net worth). </w:t>
      </w:r>
      <w:r w:rsidR="00C948C9" w:rsidRPr="00C948C9">
        <w:rPr>
          <w:sz w:val="21"/>
          <w:szCs w:val="20"/>
        </w:rPr>
        <w:t xml:space="preserve">On the </w:t>
      </w:r>
      <w:r w:rsidR="007A4668">
        <w:rPr>
          <w:sz w:val="21"/>
          <w:szCs w:val="20"/>
        </w:rPr>
        <w:t>contrary</w:t>
      </w:r>
      <w:r w:rsidR="00C948C9" w:rsidRPr="00C948C9">
        <w:rPr>
          <w:sz w:val="21"/>
          <w:szCs w:val="20"/>
        </w:rPr>
        <w:t>, for children living far away from their parents</w:t>
      </w:r>
      <w:r w:rsidR="007A4668">
        <w:rPr>
          <w:sz w:val="21"/>
          <w:szCs w:val="20"/>
        </w:rPr>
        <w:t xml:space="preserve"> (last two columns of coefficients)</w:t>
      </w:r>
      <w:r w:rsidR="00C948C9" w:rsidRPr="00C948C9">
        <w:rPr>
          <w:sz w:val="21"/>
          <w:szCs w:val="20"/>
        </w:rPr>
        <w:t xml:space="preserve">, none of </w:t>
      </w:r>
      <w:r w:rsidR="0088243A">
        <w:rPr>
          <w:sz w:val="21"/>
          <w:szCs w:val="20"/>
        </w:rPr>
        <w:t>the parental</w:t>
      </w:r>
      <w:r w:rsidR="00C948C9" w:rsidRPr="00C948C9">
        <w:rPr>
          <w:sz w:val="21"/>
          <w:szCs w:val="20"/>
        </w:rPr>
        <w:t xml:space="preserve"> factors show significance</w:t>
      </w:r>
      <w:r w:rsidR="00887B28">
        <w:rPr>
          <w:sz w:val="21"/>
          <w:szCs w:val="20"/>
        </w:rPr>
        <w:t>, indicating parental support play</w:t>
      </w:r>
      <w:r w:rsidR="00D052A1">
        <w:rPr>
          <w:sz w:val="21"/>
          <w:szCs w:val="20"/>
        </w:rPr>
        <w:t>s</w:t>
      </w:r>
      <w:r w:rsidR="00887B28">
        <w:rPr>
          <w:sz w:val="21"/>
          <w:szCs w:val="20"/>
        </w:rPr>
        <w:t xml:space="preserve"> little role in their asset accumulation</w:t>
      </w:r>
      <w:r w:rsidR="00C948C9" w:rsidRPr="00C948C9">
        <w:rPr>
          <w:sz w:val="21"/>
          <w:szCs w:val="20"/>
        </w:rPr>
        <w:t xml:space="preserve">. </w:t>
      </w:r>
      <w:r w:rsidR="00887B28">
        <w:rPr>
          <w:sz w:val="21"/>
          <w:szCs w:val="20"/>
        </w:rPr>
        <w:t xml:space="preserve">On the other hand, </w:t>
      </w:r>
      <w:r w:rsidR="00C948C9" w:rsidRPr="00C948C9">
        <w:rPr>
          <w:sz w:val="21"/>
          <w:szCs w:val="20"/>
        </w:rPr>
        <w:t>their</w:t>
      </w:r>
      <w:r w:rsidR="00887B28">
        <w:rPr>
          <w:sz w:val="21"/>
          <w:szCs w:val="20"/>
        </w:rPr>
        <w:t xml:space="preserve"> own</w:t>
      </w:r>
      <w:r w:rsidR="00C948C9" w:rsidRPr="00C948C9">
        <w:rPr>
          <w:sz w:val="21"/>
          <w:szCs w:val="20"/>
        </w:rPr>
        <w:t xml:space="preserve"> urban hukou status, CCP membership, and income</w:t>
      </w:r>
      <w:r w:rsidR="00887B28">
        <w:rPr>
          <w:sz w:val="21"/>
          <w:szCs w:val="20"/>
        </w:rPr>
        <w:t xml:space="preserve"> are contributing much more to their home asset status</w:t>
      </w:r>
      <w:r w:rsidR="00C948C9" w:rsidRPr="00C948C9">
        <w:rPr>
          <w:sz w:val="21"/>
          <w:szCs w:val="20"/>
        </w:rPr>
        <w:t xml:space="preserve">. </w:t>
      </w:r>
      <w:r w:rsidR="007A4668">
        <w:rPr>
          <w:sz w:val="21"/>
          <w:szCs w:val="20"/>
        </w:rPr>
        <w:t>In other words, they rely</w:t>
      </w:r>
      <w:r w:rsidR="00887B28">
        <w:rPr>
          <w:sz w:val="21"/>
          <w:szCs w:val="20"/>
        </w:rPr>
        <w:t xml:space="preserve"> much more</w:t>
      </w:r>
      <w:r w:rsidR="007A4668">
        <w:rPr>
          <w:sz w:val="21"/>
          <w:szCs w:val="20"/>
        </w:rPr>
        <w:t xml:space="preserve"> on </w:t>
      </w:r>
      <w:r w:rsidR="00887B28">
        <w:rPr>
          <w:sz w:val="21"/>
          <w:szCs w:val="20"/>
        </w:rPr>
        <w:t>self-achievement</w:t>
      </w:r>
      <w:r w:rsidR="007A4668">
        <w:rPr>
          <w:sz w:val="21"/>
          <w:szCs w:val="20"/>
        </w:rPr>
        <w:t xml:space="preserve"> to accumulate home wealth. </w:t>
      </w:r>
    </w:p>
    <w:p w14:paraId="5628D44A" w14:textId="18E24FCC" w:rsidR="0088243A" w:rsidRPr="00C948C9" w:rsidRDefault="00887B28" w:rsidP="00633FF3">
      <w:pPr>
        <w:spacing w:before="163" w:after="163" w:line="240" w:lineRule="auto"/>
        <w:ind w:firstLineChars="200" w:firstLine="420"/>
        <w:rPr>
          <w:sz w:val="21"/>
          <w:szCs w:val="20"/>
        </w:rPr>
      </w:pPr>
      <w:r>
        <w:rPr>
          <w:sz w:val="21"/>
          <w:szCs w:val="20"/>
        </w:rPr>
        <w:t>Multiple explanations stand behind the varying parental support between children close to versus far away from their parents</w:t>
      </w:r>
      <w:r w:rsidR="004A2281">
        <w:rPr>
          <w:sz w:val="21"/>
          <w:szCs w:val="20"/>
        </w:rPr>
        <w:t xml:space="preserve">. </w:t>
      </w:r>
      <w:r w:rsidR="002F4015">
        <w:rPr>
          <w:sz w:val="21"/>
          <w:szCs w:val="20"/>
        </w:rPr>
        <w:t>First, parents might favor children closer to them due to an exchange motive for future care from children</w:t>
      </w:r>
      <w:r>
        <w:rPr>
          <w:sz w:val="21"/>
          <w:szCs w:val="20"/>
        </w:rPr>
        <w:t xml:space="preserve"> (as opposed to altruistic motive)</w:t>
      </w:r>
      <w:r w:rsidR="002F4015">
        <w:rPr>
          <w:sz w:val="21"/>
          <w:szCs w:val="20"/>
        </w:rPr>
        <w:t>. Second, parents might have more capacity to support children living closer to them, by</w:t>
      </w:r>
      <w:r w:rsidR="00622EB5">
        <w:rPr>
          <w:sz w:val="21"/>
          <w:szCs w:val="20"/>
        </w:rPr>
        <w:t xml:space="preserve"> </w:t>
      </w:r>
      <w:r w:rsidR="002F4015">
        <w:rPr>
          <w:sz w:val="21"/>
          <w:szCs w:val="20"/>
        </w:rPr>
        <w:t xml:space="preserve">ways such as </w:t>
      </w:r>
      <w:r w:rsidR="00D052A1">
        <w:rPr>
          <w:sz w:val="21"/>
          <w:szCs w:val="20"/>
        </w:rPr>
        <w:t>transferring their local property</w:t>
      </w:r>
      <w:r w:rsidR="002F4015">
        <w:rPr>
          <w:sz w:val="21"/>
          <w:szCs w:val="20"/>
        </w:rPr>
        <w:t xml:space="preserve">. </w:t>
      </w:r>
      <w:r w:rsidR="00622EB5">
        <w:rPr>
          <w:sz w:val="21"/>
          <w:szCs w:val="20"/>
        </w:rPr>
        <w:t>Besides,</w:t>
      </w:r>
      <w:r w:rsidR="00D052A1">
        <w:rPr>
          <w:sz w:val="21"/>
          <w:szCs w:val="20"/>
        </w:rPr>
        <w:t xml:space="preserve"> many </w:t>
      </w:r>
      <w:r w:rsidR="00622EB5">
        <w:rPr>
          <w:sz w:val="21"/>
          <w:szCs w:val="20"/>
        </w:rPr>
        <w:t>migrants</w:t>
      </w:r>
      <w:r w:rsidR="00D052A1">
        <w:rPr>
          <w:sz w:val="21"/>
          <w:szCs w:val="20"/>
        </w:rPr>
        <w:t xml:space="preserve"> in Chinese society (usually rural-to-urban)</w:t>
      </w:r>
      <w:r w:rsidR="00622EB5">
        <w:rPr>
          <w:sz w:val="21"/>
          <w:szCs w:val="20"/>
        </w:rPr>
        <w:t xml:space="preserve"> experience </w:t>
      </w:r>
      <w:r w:rsidR="00D052A1">
        <w:rPr>
          <w:sz w:val="21"/>
          <w:szCs w:val="20"/>
        </w:rPr>
        <w:t>upward</w:t>
      </w:r>
      <w:r w:rsidR="00622EB5">
        <w:rPr>
          <w:sz w:val="21"/>
          <w:szCs w:val="20"/>
        </w:rPr>
        <w:t xml:space="preserve"> social mobility, which makes parents less likely to support them</w:t>
      </w:r>
      <w:r w:rsidR="00D052A1">
        <w:rPr>
          <w:sz w:val="21"/>
          <w:szCs w:val="20"/>
        </w:rPr>
        <w:t xml:space="preserve"> given their superior achievement among their siblings (</w:t>
      </w:r>
      <w:r w:rsidR="00D052A1" w:rsidRPr="00D052A1">
        <w:rPr>
          <w:sz w:val="21"/>
          <w:szCs w:val="20"/>
        </w:rPr>
        <w:t>This might be verified by further constructing variables regarding their relative position to their siblings since the data is available about all children</w:t>
      </w:r>
      <w:r w:rsidR="00D052A1">
        <w:rPr>
          <w:sz w:val="21"/>
          <w:szCs w:val="20"/>
        </w:rPr>
        <w:t>)</w:t>
      </w:r>
      <w:r w:rsidR="00622EB5">
        <w:rPr>
          <w:sz w:val="21"/>
          <w:szCs w:val="20"/>
        </w:rPr>
        <w:t xml:space="preserve">. </w:t>
      </w:r>
    </w:p>
    <w:bookmarkEnd w:id="0"/>
    <w:p w14:paraId="1A14C0FE" w14:textId="615B2D24" w:rsidR="00C948C9" w:rsidRPr="00D052A1" w:rsidRDefault="00C948C9" w:rsidP="00111CA3">
      <w:pPr>
        <w:spacing w:line="240" w:lineRule="auto"/>
        <w:jc w:val="left"/>
        <w:rPr>
          <w:rFonts w:eastAsia="等线"/>
          <w:color w:val="000000"/>
          <w:kern w:val="0"/>
          <w:szCs w:val="24"/>
        </w:rPr>
        <w:sectPr w:rsidR="00C948C9" w:rsidRPr="00D052A1" w:rsidSect="007D5EC0">
          <w:pgSz w:w="11906" w:h="16838"/>
          <w:pgMar w:top="1440" w:right="1083" w:bottom="1440" w:left="1083" w:header="851" w:footer="992" w:gutter="0"/>
          <w:cols w:space="425"/>
          <w:docGrid w:type="lines" w:linePitch="326"/>
        </w:sect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1817"/>
        <w:gridCol w:w="1658"/>
        <w:gridCol w:w="1491"/>
        <w:gridCol w:w="1962"/>
        <w:gridCol w:w="1675"/>
      </w:tblGrid>
      <w:tr w:rsidR="00F03ABB" w:rsidRPr="00F03ABB" w14:paraId="5B0DDB4A" w14:textId="77777777" w:rsidTr="00614C18">
        <w:trPr>
          <w:trHeight w:val="284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1F416" w14:textId="6C2C4CD3" w:rsidR="00F03ABB" w:rsidRPr="00C948C9" w:rsidRDefault="00F03ABB" w:rsidP="00C948C9">
            <w:pPr>
              <w:pStyle w:val="Footer"/>
            </w:pPr>
            <w:r w:rsidRPr="00F03ABB">
              <w:rPr>
                <w:color w:val="000000"/>
              </w:rPr>
              <w:lastRenderedPageBreak/>
              <w:t>Table 1. Determinants of</w:t>
            </w:r>
            <w:r w:rsidR="00D052A1">
              <w:rPr>
                <w:color w:val="000000"/>
              </w:rPr>
              <w:t xml:space="preserve"> children’s </w:t>
            </w:r>
            <w:r w:rsidRPr="00F03ABB">
              <w:rPr>
                <w:color w:val="000000"/>
              </w:rPr>
              <w:t>home wealth accumulatio</w:t>
            </w:r>
            <w:r w:rsidR="00C948C9">
              <w:rPr>
                <w:color w:val="000000"/>
              </w:rPr>
              <w:t>n (</w:t>
            </w:r>
            <w:r w:rsidR="00C948C9" w:rsidRPr="00F03ABB">
              <w:rPr>
                <w:color w:val="000000"/>
              </w:rPr>
              <w:t>*** p &lt; 0.001; ** p &lt; 0.01; * p &lt; 0.05</w:t>
            </w:r>
            <w:r w:rsidR="00C948C9">
              <w:rPr>
                <w:color w:val="000000"/>
              </w:rPr>
              <w:t>)</w:t>
            </w:r>
          </w:p>
        </w:tc>
      </w:tr>
      <w:tr w:rsidR="00F03ABB" w:rsidRPr="00F03ABB" w14:paraId="72312065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283EB" w14:textId="77777777" w:rsidR="00F03ABB" w:rsidRPr="00F03ABB" w:rsidRDefault="00F03ABB" w:rsidP="00F03ABB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BA6A4" w14:textId="0D8B7320" w:rsidR="00F03ABB" w:rsidRPr="00F03ABB" w:rsidRDefault="00D052A1" w:rsidP="00F03AB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All children</w:t>
            </w:r>
          </w:p>
        </w:tc>
        <w:tc>
          <w:tcPr>
            <w:tcW w:w="11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49401" w14:textId="79069E73" w:rsidR="00F03ABB" w:rsidRPr="00F03ABB" w:rsidRDefault="00D052A1" w:rsidP="00F03AB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</w:t>
            </w:r>
            <w:r w:rsidR="00F03ABB" w:rsidRPr="00F03ABB">
              <w:rPr>
                <w:b/>
                <w:bCs/>
                <w:color w:val="000000"/>
                <w:sz w:val="18"/>
                <w:szCs w:val="18"/>
              </w:rPr>
              <w:t>n the same city/county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with parents</w:t>
            </w:r>
          </w:p>
        </w:tc>
        <w:tc>
          <w:tcPr>
            <w:tcW w:w="13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ECD92" w14:textId="28AD3B3F" w:rsidR="00F03ABB" w:rsidRPr="00F03ABB" w:rsidRDefault="00D052A1" w:rsidP="00F03AB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</w:t>
            </w:r>
            <w:r w:rsidR="00F03ABB" w:rsidRPr="00F03ABB">
              <w:rPr>
                <w:b/>
                <w:bCs/>
                <w:color w:val="000000"/>
                <w:sz w:val="18"/>
                <w:szCs w:val="18"/>
              </w:rPr>
              <w:t>n different city/county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than parents</w:t>
            </w:r>
          </w:p>
        </w:tc>
      </w:tr>
      <w:tr w:rsidR="00F03ABB" w:rsidRPr="00F03ABB" w14:paraId="2A3BCDF7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B4B208" w14:textId="77777777" w:rsidR="00F03ABB" w:rsidRPr="00F03ABB" w:rsidRDefault="00F03ABB" w:rsidP="00F03ABB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EDA1C" w14:textId="77777777" w:rsidR="00F03ABB" w:rsidRPr="00F03ABB" w:rsidRDefault="00F03ABB" w:rsidP="00F03AB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03ABB">
              <w:rPr>
                <w:b/>
                <w:bCs/>
                <w:color w:val="000000"/>
                <w:sz w:val="18"/>
                <w:szCs w:val="18"/>
              </w:rPr>
              <w:t>Home gift at marriage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25204" w14:textId="3F371275" w:rsidR="00F03ABB" w:rsidRPr="00F03ABB" w:rsidRDefault="00F03ABB" w:rsidP="00F03AB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03ABB">
              <w:rPr>
                <w:b/>
                <w:bCs/>
                <w:color w:val="000000"/>
                <w:sz w:val="18"/>
                <w:szCs w:val="18"/>
              </w:rPr>
              <w:t>Homeownership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14862" w14:textId="77777777" w:rsidR="00F03ABB" w:rsidRPr="00F03ABB" w:rsidRDefault="00F03ABB" w:rsidP="00F03AB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03ABB">
              <w:rPr>
                <w:b/>
                <w:bCs/>
                <w:color w:val="000000"/>
                <w:sz w:val="18"/>
                <w:szCs w:val="18"/>
              </w:rPr>
              <w:t>Home value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2A4DB" w14:textId="3ECBE646" w:rsidR="00F03ABB" w:rsidRPr="00F03ABB" w:rsidRDefault="00F03ABB" w:rsidP="00F03AB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03ABB">
              <w:rPr>
                <w:b/>
                <w:bCs/>
                <w:color w:val="000000"/>
                <w:sz w:val="18"/>
                <w:szCs w:val="18"/>
              </w:rPr>
              <w:t>Homeownership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B2372" w14:textId="77777777" w:rsidR="00F03ABB" w:rsidRPr="00F03ABB" w:rsidRDefault="00F03ABB" w:rsidP="00F03AB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03ABB">
              <w:rPr>
                <w:b/>
                <w:bCs/>
                <w:color w:val="000000"/>
                <w:sz w:val="18"/>
                <w:szCs w:val="18"/>
              </w:rPr>
              <w:t>Home value</w:t>
            </w:r>
          </w:p>
        </w:tc>
      </w:tr>
      <w:tr w:rsidR="00F03ABB" w:rsidRPr="00F03ABB" w14:paraId="242BA124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958D1" w14:textId="77777777" w:rsidR="00F03ABB" w:rsidRPr="00F03ABB" w:rsidRDefault="00F03ABB" w:rsidP="00F03ABB">
            <w:pPr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12CD5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0.58 (1.60)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11B83B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-1.05 (1.28)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56289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-3.21 (3.55)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31F6F7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-2.93 * (1.40)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C295E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-12.69</w:t>
            </w:r>
          </w:p>
        </w:tc>
      </w:tr>
      <w:tr w:rsidR="00F03ABB" w:rsidRPr="00F03ABB" w14:paraId="75634A5F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19914" w14:textId="77777777" w:rsidR="00F03ABB" w:rsidRPr="00F03ABB" w:rsidRDefault="00F03ABB" w:rsidP="00F03ABB">
            <w:pPr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(Intercept 2) 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A542E" w14:textId="77777777" w:rsidR="00F03ABB" w:rsidRPr="00F03ABB" w:rsidRDefault="00F03ABB" w:rsidP="00F03ABB">
            <w:pPr>
              <w:spacing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C403A" w14:textId="77777777" w:rsidR="00F03ABB" w:rsidRPr="00F03ABB" w:rsidRDefault="00F03ABB" w:rsidP="00F03ABB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8D0E8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-0.49 *** (0.14)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313F8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1FA11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2.03 *** (0.02)</w:t>
            </w:r>
          </w:p>
        </w:tc>
      </w:tr>
      <w:tr w:rsidR="00F03ABB" w:rsidRPr="00F03ABB" w14:paraId="64649A2B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90370" w14:textId="77777777" w:rsidR="00F03ABB" w:rsidRPr="00F03ABB" w:rsidRDefault="00F03ABB" w:rsidP="00F03ABB">
            <w:pPr>
              <w:spacing w:line="240" w:lineRule="auto"/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F03ABB">
              <w:rPr>
                <w:i/>
                <w:iCs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5D34E" w14:textId="77777777" w:rsidR="00F03ABB" w:rsidRPr="00F03ABB" w:rsidRDefault="00F03ABB" w:rsidP="00F03ABB">
            <w:pPr>
              <w:spacing w:line="240" w:lineRule="auto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38154E" w14:textId="77777777" w:rsidR="00F03ABB" w:rsidRPr="00F03ABB" w:rsidRDefault="00F03ABB" w:rsidP="00F03ABB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960D22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282E1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E3CE0C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F03ABB" w:rsidRPr="00F03ABB" w14:paraId="1A047A15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027B4E79" w14:textId="5E58E672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  <w:r w:rsidR="00F03ABB" w:rsidRPr="00F03ABB">
              <w:rPr>
                <w:color w:val="000000"/>
                <w:sz w:val="18"/>
                <w:szCs w:val="18"/>
              </w:rPr>
              <w:t xml:space="preserve">verage housing price in child's place of residence 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E2C2E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-0.10 (0.18)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1D1B5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-0.49 *** (0.14)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6D3F0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-1.17 *** (0.40)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7D6718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-0.38 * (0.16)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8D371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-1.12 * (0.57)</w:t>
            </w:r>
          </w:p>
        </w:tc>
      </w:tr>
      <w:tr w:rsidR="00F03ABB" w:rsidRPr="00F03ABB" w14:paraId="1F71DE6A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C3DEA" w14:textId="2C57FC15" w:rsidR="00F03ABB" w:rsidRPr="00F03ABB" w:rsidRDefault="00F03ABB" w:rsidP="00F03ABB">
            <w:pPr>
              <w:spacing w:line="240" w:lineRule="auto"/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F03ABB">
              <w:rPr>
                <w:i/>
                <w:iCs/>
                <w:color w:val="000000"/>
                <w:sz w:val="18"/>
                <w:szCs w:val="18"/>
              </w:rPr>
              <w:t>Respondent</w:t>
            </w:r>
            <w:r w:rsidR="00D052A1">
              <w:rPr>
                <w:i/>
                <w:iCs/>
                <w:color w:val="000000"/>
                <w:sz w:val="18"/>
                <w:szCs w:val="18"/>
              </w:rPr>
              <w:t xml:space="preserve"> (child)</w:t>
            </w:r>
            <w:r w:rsidRPr="00F03ABB">
              <w:rPr>
                <w:i/>
                <w:iCs/>
                <w:color w:val="000000"/>
                <w:sz w:val="18"/>
                <w:szCs w:val="18"/>
              </w:rPr>
              <w:t xml:space="preserve"> characteristics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FFC06" w14:textId="77777777" w:rsidR="00F03ABB" w:rsidRPr="00F03ABB" w:rsidRDefault="00F03ABB" w:rsidP="00F03ABB">
            <w:pPr>
              <w:spacing w:line="240" w:lineRule="auto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426A0" w14:textId="77777777" w:rsidR="00F03ABB" w:rsidRPr="00F03ABB" w:rsidRDefault="00F03ABB" w:rsidP="00F03ABB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ACE05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E8670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82A78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F03ABB" w:rsidRPr="00F03ABB" w14:paraId="006E5009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6E6E5169" w14:textId="35E599F8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  <w:r w:rsidR="00F03ABB" w:rsidRPr="00F03ABB">
              <w:rPr>
                <w:color w:val="000000"/>
                <w:sz w:val="18"/>
                <w:szCs w:val="18"/>
              </w:rPr>
              <w:t>ge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61F3C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-0.04 *** (0.01)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8FE76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0.07 *** (0.01)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6E184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0.19 *** (0.02)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A646F7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0.08 *** (0.01)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D4C8B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0.27 *** (0.03)</w:t>
            </w:r>
          </w:p>
        </w:tc>
      </w:tr>
      <w:tr w:rsidR="00F03ABB" w:rsidRPr="00F03ABB" w14:paraId="60AB71DB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23010D16" w14:textId="5F7E633B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 w:rsidR="00F03ABB" w:rsidRPr="00F03ABB">
              <w:rPr>
                <w:color w:val="000000"/>
                <w:sz w:val="18"/>
                <w:szCs w:val="18"/>
              </w:rPr>
              <w:t>emale (base is male)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FD816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-3.64 *** (0.30)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F1BA31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-0.05 (0.11)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0C523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-0.15 (0.30)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7B9AA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0.42 *** (0.11)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3A8273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1.40 *** (0.40)</w:t>
            </w:r>
          </w:p>
        </w:tc>
      </w:tr>
      <w:tr w:rsidR="00F03ABB" w:rsidRPr="00F03ABB" w14:paraId="418B293A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2C3BD6F8" w14:textId="57E6BABD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 w:rsidR="00F03ABB" w:rsidRPr="00F03ABB">
              <w:rPr>
                <w:color w:val="000000"/>
                <w:sz w:val="18"/>
                <w:szCs w:val="18"/>
              </w:rPr>
              <w:t>umber of children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2BDF7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-0.20 (0.11)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E6659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0.21 * (0.09)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95852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0.69 ** (0.24)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5E2286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0.23 ** (0.09)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F3543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1.09 *** (0.30)</w:t>
            </w:r>
          </w:p>
        </w:tc>
      </w:tr>
      <w:tr w:rsidR="00F03ABB" w:rsidRPr="00F03ABB" w14:paraId="7BBA8681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12B96067" w14:textId="35F4B33C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 w:rsidR="00F03ABB" w:rsidRPr="00F03ABB">
              <w:rPr>
                <w:color w:val="000000"/>
                <w:sz w:val="18"/>
                <w:szCs w:val="18"/>
              </w:rPr>
              <w:t>rban hukou status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40A16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0.11 (0.16)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3D072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-0.08 (0.13)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09955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-0.18 (0.36)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70547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0.41 ** (0.14)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7265DB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1.80 *** (0.50)</w:t>
            </w:r>
          </w:p>
        </w:tc>
      </w:tr>
      <w:tr w:rsidR="00F03ABB" w:rsidRPr="00F03ABB" w14:paraId="05EB2775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3DC6FE1F" w14:textId="41574F9F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 w:rsidR="00F03ABB" w:rsidRPr="00F03ABB">
              <w:rPr>
                <w:color w:val="000000"/>
                <w:sz w:val="18"/>
                <w:szCs w:val="18"/>
              </w:rPr>
              <w:t>ot in CCP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FBD76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0.10 (0.17)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4154E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-0.04 (0.19)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124F70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-0.01 (0.46)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E707F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-0.52 ** (0.19)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EBF3B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-1.39 * (0.61)</w:t>
            </w:r>
          </w:p>
        </w:tc>
      </w:tr>
      <w:tr w:rsidR="00F03ABB" w:rsidRPr="00F03ABB" w14:paraId="453C1DC4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29557212" w14:textId="1C77EBF5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  <w:r w:rsidR="00F03ABB" w:rsidRPr="00F03ABB">
              <w:rPr>
                <w:color w:val="000000"/>
                <w:sz w:val="18"/>
                <w:szCs w:val="18"/>
              </w:rPr>
              <w:t>ears of schooling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5E9B7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3EEC4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BB482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0.08 (0.05)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8E139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54D87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0.04 (0.07)</w:t>
            </w:r>
          </w:p>
        </w:tc>
      </w:tr>
      <w:tr w:rsidR="00F03ABB" w:rsidRPr="00F03ABB" w14:paraId="573602CC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2E4ECD6F" w14:textId="3B979641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 w:rsidR="00F03ABB" w:rsidRPr="00F03ABB">
              <w:rPr>
                <w:color w:val="000000"/>
                <w:sz w:val="18"/>
                <w:szCs w:val="18"/>
              </w:rPr>
              <w:t>anagerial elites (base is other occupations)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BDE03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0.12 (0.21)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F0E5E4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0.45 (0.24)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03CA3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0.91 (0.53)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1306C4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0.12 (0.25)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766F8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0.20 (0.77)</w:t>
            </w:r>
          </w:p>
        </w:tc>
      </w:tr>
      <w:tr w:rsidR="00F03ABB" w:rsidRPr="00F03ABB" w14:paraId="3509F48C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4E16299F" w14:textId="6B2C4D0D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</w:t>
            </w:r>
            <w:r w:rsidR="00F03ABB" w:rsidRPr="00F03ABB">
              <w:rPr>
                <w:color w:val="000000"/>
                <w:sz w:val="18"/>
                <w:szCs w:val="18"/>
              </w:rPr>
              <w:t>ousehold income (logged)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7869D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0.08 (0.06)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040450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0.19 *** (0.04)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62B47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0.77 *** (0.12)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57482B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0.28 *** (0.05)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85963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1.34 *** (0.19)</w:t>
            </w:r>
          </w:p>
        </w:tc>
      </w:tr>
      <w:tr w:rsidR="00F03ABB" w:rsidRPr="00F03ABB" w14:paraId="409D1B2C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76092" w14:textId="77777777" w:rsidR="00F03ABB" w:rsidRPr="00F03ABB" w:rsidRDefault="00F03ABB" w:rsidP="00F03ABB">
            <w:pPr>
              <w:spacing w:line="240" w:lineRule="auto"/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F03ABB">
              <w:rPr>
                <w:i/>
                <w:iCs/>
                <w:color w:val="000000"/>
                <w:sz w:val="18"/>
                <w:szCs w:val="18"/>
              </w:rPr>
              <w:t>Spousal characteristics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0A659" w14:textId="77777777" w:rsidR="00F03ABB" w:rsidRPr="00F03ABB" w:rsidRDefault="00F03ABB" w:rsidP="00F03ABB">
            <w:pPr>
              <w:spacing w:line="240" w:lineRule="auto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A47A1" w14:textId="77777777" w:rsidR="00F03ABB" w:rsidRPr="00F03ABB" w:rsidRDefault="00F03ABB" w:rsidP="00F03ABB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A8DCF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F1004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61B2B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F03ABB" w:rsidRPr="00F03ABB" w14:paraId="099D0DF0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66284159" w14:textId="728B131B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  <w:r w:rsidR="00F03ABB" w:rsidRPr="00F03ABB">
              <w:rPr>
                <w:color w:val="000000"/>
                <w:sz w:val="18"/>
                <w:szCs w:val="18"/>
              </w:rPr>
              <w:t>ears of schooling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FCF6C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0.00 (0.02)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A51EC7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0.05 * (0.02)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9A8924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0.15 ** (0.05)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8C038B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0.06 ** (0.02)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70C0B1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0.20 ** (0.07)</w:t>
            </w:r>
          </w:p>
        </w:tc>
      </w:tr>
      <w:tr w:rsidR="00F03ABB" w:rsidRPr="00F03ABB" w14:paraId="36DDC832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C562D" w14:textId="77777777" w:rsidR="00F03ABB" w:rsidRPr="00F03ABB" w:rsidRDefault="00F03ABB" w:rsidP="00F03ABB">
            <w:pPr>
              <w:spacing w:line="240" w:lineRule="auto"/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F03ABB">
              <w:rPr>
                <w:i/>
                <w:iCs/>
                <w:color w:val="000000"/>
                <w:sz w:val="18"/>
                <w:szCs w:val="18"/>
              </w:rPr>
              <w:t>Parental characteristics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2D9B5" w14:textId="77777777" w:rsidR="00F03ABB" w:rsidRPr="00F03ABB" w:rsidRDefault="00F03ABB" w:rsidP="00F03ABB">
            <w:pPr>
              <w:spacing w:line="240" w:lineRule="auto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6DB08" w14:textId="77777777" w:rsidR="00F03ABB" w:rsidRPr="00F03ABB" w:rsidRDefault="00F03ABB" w:rsidP="00F03ABB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D996C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D3A411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A063A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F03ABB" w:rsidRPr="00F03ABB" w14:paraId="661B337A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7555F9EE" w14:textId="3D4319AC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</w:t>
            </w:r>
            <w:r w:rsidR="00F03ABB" w:rsidRPr="00F03ABB">
              <w:rPr>
                <w:color w:val="000000"/>
                <w:sz w:val="18"/>
                <w:szCs w:val="18"/>
              </w:rPr>
              <w:t>ents living in a different city/county/district (base: same)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22282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-0.52 *** (0.13) 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D2C998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C8324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FDB62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04099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F03ABB" w:rsidRPr="00F03ABB" w14:paraId="76880C34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3C92BFF0" w14:textId="789E43DE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 w:rsidR="00F03ABB" w:rsidRPr="00F03ABB">
              <w:rPr>
                <w:color w:val="000000"/>
                <w:sz w:val="18"/>
                <w:szCs w:val="18"/>
              </w:rPr>
              <w:t>umber of siblings</w:t>
            </w:r>
            <w:r w:rsidR="00D052A1">
              <w:rPr>
                <w:color w:val="000000"/>
                <w:sz w:val="18"/>
                <w:szCs w:val="18"/>
              </w:rPr>
              <w:t xml:space="preserve"> of the child</w:t>
            </w:r>
            <w:r w:rsidR="00F03ABB" w:rsidRPr="00F03ABB">
              <w:rPr>
                <w:color w:val="000000"/>
                <w:sz w:val="18"/>
                <w:szCs w:val="18"/>
              </w:rPr>
              <w:t xml:space="preserve"> in </w:t>
            </w:r>
            <w:proofErr w:type="spellStart"/>
            <w:r w:rsidR="00F03ABB" w:rsidRPr="00F03ABB">
              <w:rPr>
                <w:color w:val="000000"/>
                <w:sz w:val="18"/>
                <w:szCs w:val="18"/>
              </w:rPr>
              <w:t>orignal</w:t>
            </w:r>
            <w:proofErr w:type="spellEnd"/>
            <w:r w:rsidR="00F03ABB" w:rsidRPr="00F03ABB">
              <w:rPr>
                <w:color w:val="000000"/>
                <w:sz w:val="18"/>
                <w:szCs w:val="18"/>
              </w:rPr>
              <w:t xml:space="preserve"> family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A3440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-0.12 (0.17)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361D4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-0.14 ** (0.05)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9CCF0A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-0.41 ** (0.14)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BFA859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-0.05 (0.05)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AA1F86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-0.28 (0.19)</w:t>
            </w:r>
          </w:p>
        </w:tc>
      </w:tr>
      <w:tr w:rsidR="00F03ABB" w:rsidRPr="00F03ABB" w14:paraId="32EA2434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5C490D64" w14:textId="68E73E58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 w:rsidR="00F03ABB" w:rsidRPr="00F03ABB">
              <w:rPr>
                <w:color w:val="000000"/>
                <w:sz w:val="18"/>
                <w:szCs w:val="18"/>
              </w:rPr>
              <w:t xml:space="preserve">irth order </w:t>
            </w:r>
            <w:r w:rsidR="00D052A1">
              <w:rPr>
                <w:color w:val="000000"/>
                <w:sz w:val="18"/>
                <w:szCs w:val="18"/>
              </w:rPr>
              <w:t xml:space="preserve">of the child </w:t>
            </w:r>
            <w:r w:rsidR="00F03ABB" w:rsidRPr="00F03ABB">
              <w:rPr>
                <w:color w:val="000000"/>
                <w:sz w:val="18"/>
                <w:szCs w:val="18"/>
              </w:rPr>
              <w:t xml:space="preserve">in </w:t>
            </w:r>
            <w:proofErr w:type="spellStart"/>
            <w:r w:rsidR="00F03ABB" w:rsidRPr="00F03ABB">
              <w:rPr>
                <w:color w:val="000000"/>
                <w:sz w:val="18"/>
                <w:szCs w:val="18"/>
              </w:rPr>
              <w:t>orignal</w:t>
            </w:r>
            <w:proofErr w:type="spellEnd"/>
            <w:r w:rsidR="00F03ABB" w:rsidRPr="00F03ABB">
              <w:rPr>
                <w:color w:val="000000"/>
                <w:sz w:val="18"/>
                <w:szCs w:val="18"/>
              </w:rPr>
              <w:t xml:space="preserve"> family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3AD49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-0.06 (0.07)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BC24E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0.25 *** (0.06)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9FCAF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0.69 *** (0.14)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2F90F4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0.10 (0.06)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D8B024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0.42 * (0.20)</w:t>
            </w:r>
          </w:p>
        </w:tc>
      </w:tr>
      <w:tr w:rsidR="00F03ABB" w:rsidRPr="00F03ABB" w14:paraId="765EF3AD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5B7BB189" w14:textId="423E183E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  <w:r w:rsidR="00F03ABB" w:rsidRPr="00F03ABB">
              <w:rPr>
                <w:color w:val="000000"/>
                <w:sz w:val="18"/>
                <w:szCs w:val="18"/>
              </w:rPr>
              <w:t>ears of schooling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6BC06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0.03 (0.02)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7F132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0.03 * (0.02)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CDBCA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0.12 ** (0.04)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898F2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-0.01 (0.02)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50371B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0.01 (0.06)</w:t>
            </w:r>
          </w:p>
        </w:tc>
      </w:tr>
      <w:tr w:rsidR="00F03ABB" w:rsidRPr="00F03ABB" w14:paraId="27E2B141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33B73121" w14:textId="7BA0C85A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</w:t>
            </w:r>
            <w:r w:rsidR="00F03ABB" w:rsidRPr="00F03ABB">
              <w:rPr>
                <w:color w:val="000000"/>
                <w:sz w:val="18"/>
                <w:szCs w:val="18"/>
              </w:rPr>
              <w:t>ublic sector job (base is private sector)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48D71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-0.04 (0.16)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2E257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-0.19 (0.14)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22FF1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-0.64 (0.37)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638FF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-0.21 (0.15)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55FA2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-0.82 (0.52)</w:t>
            </w:r>
          </w:p>
        </w:tc>
      </w:tr>
      <w:tr w:rsidR="00F03ABB" w:rsidRPr="00F03ABB" w14:paraId="53A35CE0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3EB6D791" w14:textId="77777777" w:rsidR="00F03ABB" w:rsidRPr="00F03ABB" w:rsidRDefault="00F03ABB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CCP member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89E0F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-0.01 (0.23)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546AC2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-0.24 (0.19)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06EFD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-0.58 (0.48)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EC9F0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-0.07 (0.25)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95B090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-0.22 (0.82)</w:t>
            </w:r>
          </w:p>
        </w:tc>
      </w:tr>
      <w:tr w:rsidR="00F03ABB" w:rsidRPr="00F03ABB" w14:paraId="76DA73E9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0" w:type="dxa"/>
              <w:bottom w:w="0" w:type="dxa"/>
              <w:right w:w="15" w:type="dxa"/>
            </w:tcMar>
            <w:hideMark/>
          </w:tcPr>
          <w:p w14:paraId="3D2EF20A" w14:textId="268D0A2C" w:rsidR="00F03ABB" w:rsidRPr="00F03ABB" w:rsidRDefault="00C948C9" w:rsidP="00F03ABB">
            <w:pPr>
              <w:spacing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Household n</w:t>
            </w:r>
            <w:r w:rsidR="00F03ABB" w:rsidRPr="00F03ABB">
              <w:rPr>
                <w:color w:val="000000"/>
                <w:sz w:val="18"/>
                <w:szCs w:val="18"/>
              </w:rPr>
              <w:t>et worth (logged)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83C5A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-0.01 (0.02)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0036EA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0.05 ** (0.02)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479044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0.20 *** (0.05)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7651B3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0.00 (0.02)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29276D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0.08 (0.06)</w:t>
            </w:r>
          </w:p>
        </w:tc>
      </w:tr>
      <w:tr w:rsidR="00F03ABB" w:rsidRPr="00F03ABB" w14:paraId="5A3F628E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DA064" w14:textId="77777777" w:rsidR="00F03ABB" w:rsidRPr="00F03ABB" w:rsidRDefault="00F03ABB" w:rsidP="00F03ABB">
            <w:pPr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6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1EE1C9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4022</w:t>
            </w:r>
          </w:p>
        </w:tc>
        <w:tc>
          <w:tcPr>
            <w:tcW w:w="59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C8C478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2141</w:t>
            </w:r>
          </w:p>
        </w:tc>
        <w:tc>
          <w:tcPr>
            <w:tcW w:w="5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61187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2141</w:t>
            </w:r>
          </w:p>
        </w:tc>
        <w:tc>
          <w:tcPr>
            <w:tcW w:w="7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B2B1A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1863</w:t>
            </w:r>
          </w:p>
        </w:tc>
        <w:tc>
          <w:tcPr>
            <w:tcW w:w="6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17417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1863</w:t>
            </w:r>
          </w:p>
        </w:tc>
      </w:tr>
      <w:tr w:rsidR="00F03ABB" w:rsidRPr="00F03ABB" w14:paraId="129EDF95" w14:textId="77777777" w:rsidTr="00614C18">
        <w:trPr>
          <w:trHeight w:val="284"/>
        </w:trPr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4D75F" w14:textId="423CF466" w:rsidR="00F03ABB" w:rsidRPr="00F03ABB" w:rsidRDefault="00F03ABB" w:rsidP="00F03ABB">
            <w:pPr>
              <w:spacing w:line="240" w:lineRule="auto"/>
              <w:jc w:val="left"/>
              <w:rPr>
                <w:rFonts w:eastAsia="宋体"/>
                <w:sz w:val="22"/>
              </w:rPr>
            </w:pPr>
            <w:r>
              <w:rPr>
                <w:color w:val="000000"/>
                <w:sz w:val="18"/>
                <w:szCs w:val="18"/>
              </w:rPr>
              <w:t>Goodness of fit (Pseudo R2 for logit, Log-likelihood for Tobit</w:t>
            </w:r>
            <w:r w:rsidR="00C948C9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74608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0.27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677AD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29E85C" w14:textId="02EC9164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5248.70</w:t>
            </w: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C3FA51" w14:textId="77777777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70105" w14:textId="3D8D7A22" w:rsidR="00F03ABB" w:rsidRPr="00F03ABB" w:rsidRDefault="00F03ABB" w:rsidP="00F03ABB">
            <w:pP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 w:rsidRPr="00F03ABB">
              <w:rPr>
                <w:color w:val="000000"/>
                <w:sz w:val="18"/>
                <w:szCs w:val="18"/>
              </w:rPr>
              <w:t>-4381.14</w:t>
            </w:r>
            <w:r w:rsidRPr="00F03ABB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611B187D" w14:textId="36CF91BF" w:rsidR="00F03ABB" w:rsidRPr="00F03ABB" w:rsidRDefault="00F03ABB" w:rsidP="00F03ABB">
      <w:pPr>
        <w:rPr>
          <w:rFonts w:eastAsia="宋体"/>
          <w:sz w:val="22"/>
        </w:rPr>
        <w:sectPr w:rsidR="00F03ABB" w:rsidRPr="00F03ABB" w:rsidSect="0032672A">
          <w:pgSz w:w="16838" w:h="11906" w:orient="landscape"/>
          <w:pgMar w:top="1083" w:right="1440" w:bottom="1083" w:left="1440" w:header="851" w:footer="992" w:gutter="0"/>
          <w:cols w:space="425"/>
          <w:docGrid w:type="lines" w:linePitch="326"/>
        </w:sectPr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0"/>
      </w:tblGrid>
      <w:tr w:rsidR="008A4ED2" w:rsidRPr="006B1204" w14:paraId="39206B9F" w14:textId="77777777" w:rsidTr="008A4ED2">
        <w:trPr>
          <w:trHeight w:val="1090"/>
        </w:trPr>
        <w:tc>
          <w:tcPr>
            <w:tcW w:w="9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B6AC9A" w14:textId="04238BFA" w:rsidR="008A4ED2" w:rsidRDefault="00B20704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>
              <w:rPr>
                <w:rFonts w:eastAsia="等线"/>
                <w:color w:val="000000"/>
                <w:kern w:val="0"/>
                <w:szCs w:val="24"/>
              </w:rPr>
              <w:lastRenderedPageBreak/>
              <w:t>Appendix</w:t>
            </w:r>
            <w:r w:rsidR="008A4ED2" w:rsidRPr="006B1204">
              <w:rPr>
                <w:rFonts w:eastAsia="等线"/>
                <w:color w:val="000000"/>
                <w:kern w:val="0"/>
                <w:szCs w:val="24"/>
              </w:rPr>
              <w:t xml:space="preserve">. Summary statistics </w:t>
            </w:r>
            <w:r w:rsidR="008A4ED2">
              <w:rPr>
                <w:rFonts w:eastAsia="等线"/>
                <w:color w:val="000000"/>
                <w:kern w:val="0"/>
                <w:szCs w:val="24"/>
              </w:rPr>
              <w:t>of variables by full sample and two subgroups</w:t>
            </w:r>
          </w:p>
          <w:p w14:paraId="60084A8A" w14:textId="62BD9969" w:rsidR="008A4ED2" w:rsidRPr="006B1204" w:rsidRDefault="008A4ED2" w:rsidP="008A4ED2">
            <w:pPr>
              <w:spacing w:line="240" w:lineRule="auto"/>
              <w:ind w:leftChars="100" w:left="240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8A4ED2">
              <w:rPr>
                <w:rFonts w:eastAsia="等线"/>
                <w:color w:val="000000"/>
                <w:kern w:val="0"/>
                <w:sz w:val="22"/>
              </w:rPr>
              <w:t>*</w:t>
            </w:r>
            <w:r w:rsidRPr="006B1204">
              <w:rPr>
                <w:rFonts w:eastAsia="等线"/>
                <w:color w:val="000000"/>
                <w:kern w:val="0"/>
                <w:sz w:val="22"/>
              </w:rPr>
              <w:t>values in brackets indicate quantiles for numeric variable and % for categorical variable</w:t>
            </w:r>
          </w:p>
        </w:tc>
      </w:tr>
      <w:tr w:rsidR="008A4ED2" w:rsidRPr="006B1204" w14:paraId="0738AC78" w14:textId="77777777" w:rsidTr="008A4ED2">
        <w:trPr>
          <w:trHeight w:val="10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D844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8AFF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Full Sample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3B9E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Parents living in the same city/county/district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0841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Parents living in a different city/county/district</w:t>
            </w:r>
          </w:p>
        </w:tc>
      </w:tr>
      <w:tr w:rsidR="008A4ED2" w:rsidRPr="006B1204" w14:paraId="58C7C319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D34F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N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5922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7775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4419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4057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47DB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3718</w:t>
            </w:r>
          </w:p>
        </w:tc>
      </w:tr>
      <w:tr w:rsidR="008A4ED2" w:rsidRPr="006B1204" w14:paraId="17D7F165" w14:textId="77777777" w:rsidTr="008A4ED2">
        <w:trPr>
          <w:trHeight w:val="74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48C5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i/>
                <w:i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i/>
                <w:iCs/>
                <w:color w:val="000000"/>
                <w:kern w:val="0"/>
                <w:sz w:val="22"/>
              </w:rPr>
              <w:t xml:space="preserve">Respondent characteristics </w:t>
            </w:r>
          </w:p>
        </w:tc>
      </w:tr>
      <w:tr w:rsidR="008A4ED2" w:rsidRPr="006B1204" w14:paraId="691A5F14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46DB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age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29F1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CF38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6EC7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29C47BA4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E77E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AB98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B428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35B5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19</w:t>
            </w:r>
          </w:p>
        </w:tc>
      </w:tr>
      <w:tr w:rsidR="008A4ED2" w:rsidRPr="006B1204" w14:paraId="7CB3AA62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8044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9703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39 (32.00, 46.00)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1AB1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41 (34.00, 47.00)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D806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36.00 (30.00, 43.00)</w:t>
            </w:r>
          </w:p>
        </w:tc>
      </w:tr>
      <w:tr w:rsidR="008A4ED2" w:rsidRPr="006B1204" w14:paraId="668071CC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C6FE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EE0E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39.44 ± 9.44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6661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41.31 ± 9.50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7637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37.40 ± 8.93</w:t>
            </w:r>
          </w:p>
        </w:tc>
      </w:tr>
      <w:tr w:rsidR="008A4ED2" w:rsidRPr="006B1204" w14:paraId="751C3904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A92B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BA77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115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4350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115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4361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77</w:t>
            </w:r>
          </w:p>
        </w:tc>
      </w:tr>
      <w:tr w:rsidR="008A4ED2" w:rsidRPr="006B1204" w14:paraId="33000F47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449C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sex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F7D4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533A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A7B7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77CF5D66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6D85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1 Male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6F26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3,608 (47)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F117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1,772 (44)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EFD1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1,836 (50)</w:t>
            </w:r>
          </w:p>
        </w:tc>
      </w:tr>
      <w:tr w:rsidR="008A4ED2" w:rsidRPr="006B1204" w14:paraId="1251DA3A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F054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2 Female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AF62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4,120 (53)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CD5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2,260 (56)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CC79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1,860 (50)</w:t>
            </w:r>
          </w:p>
        </w:tc>
      </w:tr>
      <w:tr w:rsidR="008A4ED2" w:rsidRPr="006B1204" w14:paraId="754F2686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DABF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B658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47/7,775 (1)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3698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25/4,057 (1)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4265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22/3,718 (1)</w:t>
            </w:r>
          </w:p>
        </w:tc>
      </w:tr>
      <w:tr w:rsidR="008A4ED2" w:rsidRPr="006B1204" w14:paraId="259CD0E5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5E3D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number of children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3281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5EAF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42C8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5EA91BDF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6AE3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669B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192D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B903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8A4ED2" w:rsidRPr="006B1204" w14:paraId="26245299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F1E3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6120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1.00 (1.00, 2.00)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E29F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1.00 (1.00, 2.00)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C2AD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1.00 (1.00, 2.00)</w:t>
            </w:r>
          </w:p>
        </w:tc>
      </w:tr>
      <w:tr w:rsidR="008A4ED2" w:rsidRPr="006B1204" w14:paraId="4A8F8719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17EF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18DB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1.35 ± 0.72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6B59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1.36 ± 0.69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060D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1.35 ± 0.75</w:t>
            </w:r>
          </w:p>
        </w:tc>
      </w:tr>
      <w:tr w:rsidR="008A4ED2" w:rsidRPr="006B1204" w14:paraId="236E635A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E9B0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D55C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1444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466F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</w:t>
            </w:r>
          </w:p>
        </w:tc>
      </w:tr>
      <w:tr w:rsidR="008A4ED2" w:rsidRPr="006B1204" w14:paraId="29101F43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63CD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84F4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2/7,775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654D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1/4,057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0EA1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1/3,718 (0)</w:t>
            </w:r>
          </w:p>
        </w:tc>
      </w:tr>
      <w:tr w:rsidR="008A4ED2" w:rsidRPr="006B1204" w14:paraId="08C76A8F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C10B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hukou status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9882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A2EC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1F2A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3C57FEE2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F9AB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1 Agricultural Hukou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FED4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3,959 (52)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E5B2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1,720 (43)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B3D3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2,239 (62)</w:t>
            </w:r>
          </w:p>
        </w:tc>
      </w:tr>
      <w:tr w:rsidR="008A4ED2" w:rsidRPr="006B1204" w14:paraId="0BE031C1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9FBC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2 Non-Agricultural Hukou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C7BF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3,666 (48)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CDD4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2,273 (57)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1636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1,393 (38)</w:t>
            </w:r>
          </w:p>
        </w:tc>
      </w:tr>
      <w:tr w:rsidR="008A4ED2" w:rsidRPr="006B1204" w14:paraId="3C8B4191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174D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BE04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150/7,775 (2)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8CA6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64/4,057 (2)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9C8D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86/3,718 (2)</w:t>
            </w:r>
          </w:p>
        </w:tc>
      </w:tr>
      <w:tr w:rsidR="008A4ED2" w:rsidRPr="006B1204" w14:paraId="087C95F2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F209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CCP membership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1C3D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3663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5856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0DB61ED8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1153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 xml:space="preserve">   1 In 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ccp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8CB6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1,102 (14)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127F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587 (15)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7AD0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515 (14)</w:t>
            </w:r>
          </w:p>
        </w:tc>
      </w:tr>
      <w:tr w:rsidR="008A4ED2" w:rsidRPr="006B1204" w14:paraId="4AAF1189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9FF8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 xml:space="preserve">   2 Not in 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ccp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C238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6,511 (86)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BAAD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3,391 (85)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5C7C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3,120 (86)</w:t>
            </w:r>
          </w:p>
        </w:tc>
      </w:tr>
      <w:tr w:rsidR="008A4ED2" w:rsidRPr="006B1204" w14:paraId="4694A1BA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09D9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AAE7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162/7,775 (2)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46B7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79/4,057 (2)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C8D4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83/3,718 (2)</w:t>
            </w:r>
          </w:p>
        </w:tc>
      </w:tr>
      <w:tr w:rsidR="008A4ED2" w:rsidRPr="006B1204" w14:paraId="47D11616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D3A9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years of schooling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E249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DF43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DDF0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7E37F891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912F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9B12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DDEB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5D92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8A4ED2" w:rsidRPr="006B1204" w14:paraId="641FE4EA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7BF3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0B55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9.00 (9.00, 12.00)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ABD0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9.00 (9.00, 12.00)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376C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9.00 (6.00, 15.00)</w:t>
            </w:r>
          </w:p>
        </w:tc>
      </w:tr>
      <w:tr w:rsidR="008A4ED2" w:rsidRPr="006B1204" w14:paraId="613A85C7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DC93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AA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10.23 ± 4.06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1AF2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10.22 ± 3.87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9B9D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10.23 ± 4.27</w:t>
            </w:r>
          </w:p>
        </w:tc>
      </w:tr>
      <w:tr w:rsidR="008A4ED2" w:rsidRPr="006B1204" w14:paraId="7E04963C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B10F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790C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9039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BC30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21</w:t>
            </w:r>
          </w:p>
        </w:tc>
      </w:tr>
      <w:tr w:rsidR="008A4ED2" w:rsidRPr="006B1204" w14:paraId="6036D834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487B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lastRenderedPageBreak/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6499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37/7,775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14FB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25/4,057 (1)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AF14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12/3,718 (0)</w:t>
            </w:r>
          </w:p>
        </w:tc>
      </w:tr>
      <w:tr w:rsidR="008A4ED2" w:rsidRPr="006B1204" w14:paraId="6365E0F2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1319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occupation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71FA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6284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4FB9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22817027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38A1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 xml:space="preserve">   managerial elites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6717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594 (8)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B065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352 (9)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029D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242 (7)</w:t>
            </w:r>
          </w:p>
        </w:tc>
      </w:tr>
      <w:tr w:rsidR="008A4ED2" w:rsidRPr="006B1204" w14:paraId="68EBF994" w14:textId="77777777" w:rsidTr="008A4ED2">
        <w:trPr>
          <w:trHeight w:val="36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83C3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household income last year (logged)</w:t>
            </w:r>
          </w:p>
        </w:tc>
      </w:tr>
      <w:tr w:rsidR="008A4ED2" w:rsidRPr="006B1204" w14:paraId="09A5EC99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2818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0CF7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3.91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31E5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3.91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0700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3.91</w:t>
            </w:r>
          </w:p>
        </w:tc>
      </w:tr>
      <w:tr w:rsidR="008A4ED2" w:rsidRPr="006B1204" w14:paraId="6274EBBC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2645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FAD9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10.60 (10.13, 11.23)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2D00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10.60 (10.13, 11.23)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4289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10.60 (10.13, 11.23)</w:t>
            </w:r>
          </w:p>
        </w:tc>
      </w:tr>
      <w:tr w:rsidR="008A4ED2" w:rsidRPr="006B1204" w14:paraId="4E64271D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479D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21DB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10.41 ± 1.37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9F62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10.30 ± 1.40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6053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10.55 ± 1.33</w:t>
            </w:r>
          </w:p>
        </w:tc>
      </w:tr>
      <w:tr w:rsidR="008A4ED2" w:rsidRPr="006B1204" w14:paraId="66B79D21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D6CA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E632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13.12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F1F1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13.12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8B79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13.12</w:t>
            </w:r>
          </w:p>
        </w:tc>
      </w:tr>
      <w:tr w:rsidR="008A4ED2" w:rsidRPr="006B1204" w14:paraId="76F1F71E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3D83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9F4D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1,796/7,775 (23)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3C86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889/4,057 (22)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C1D0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907/3,718 (24)</w:t>
            </w:r>
          </w:p>
        </w:tc>
      </w:tr>
      <w:tr w:rsidR="008A4ED2" w:rsidRPr="006B1204" w14:paraId="5B117861" w14:textId="77777777" w:rsidTr="008A4ED2">
        <w:trPr>
          <w:trHeight w:val="36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243D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parents buy home upon marriage</w:t>
            </w:r>
          </w:p>
        </w:tc>
      </w:tr>
      <w:tr w:rsidR="008A4ED2" w:rsidRPr="006B1204" w14:paraId="7E576B82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402F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yes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1D25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585 (8)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FE21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351 (9)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1A86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234 (6)</w:t>
            </w:r>
          </w:p>
        </w:tc>
      </w:tr>
      <w:tr w:rsidR="008A4ED2" w:rsidRPr="006B1204" w14:paraId="7E22E5C2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45B7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home ownership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63DE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16DA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89C5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4C48B556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5452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BB95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34C2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E2BF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8A4ED2" w:rsidRPr="006B1204" w14:paraId="33F28FF2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1769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F4A3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1.00 (0.00, 1.00)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FAF4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1.00 (1.00, 1.00)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4C5B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1.00 (0.00, 1.00)</w:t>
            </w:r>
          </w:p>
        </w:tc>
      </w:tr>
      <w:tr w:rsidR="008A4ED2" w:rsidRPr="006B1204" w14:paraId="00A6E749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8F7C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758D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0.71 ± 0.45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873E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0.76 ± 0.43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2E3B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0.66 ± 0.47</w:t>
            </w:r>
          </w:p>
        </w:tc>
      </w:tr>
      <w:tr w:rsidR="008A4ED2" w:rsidRPr="006B1204" w14:paraId="69684BC7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37C0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A5F0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C7B4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1376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</w:tr>
      <w:tr w:rsidR="008A4ED2" w:rsidRPr="006B1204" w14:paraId="13D7CC10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002C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8A02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80/7,775 (1)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4FA0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41/4,057 (1)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8635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39/3,718 (1)</w:t>
            </w:r>
          </w:p>
        </w:tc>
      </w:tr>
      <w:tr w:rsidR="008A4ED2" w:rsidRPr="006B1204" w14:paraId="5F66BA81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C31E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home value (logged)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3CF6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768E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FFCE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40677F73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DDFE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2554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DD0B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D0A7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8A4ED2" w:rsidRPr="006B1204" w14:paraId="180B01E8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1412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885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11.92 (0.00, 12.90)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3CE7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12.21 (0.00, 12.90)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47DC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11.51 (0.00, 13.02)</w:t>
            </w:r>
          </w:p>
        </w:tc>
      </w:tr>
      <w:tr w:rsidR="008A4ED2" w:rsidRPr="006B1204" w14:paraId="21E2C7BA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4F25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2551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8.19 ± 6.04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6361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8.83 ± 5.73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5935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7.50 ± 6.29</w:t>
            </w:r>
          </w:p>
        </w:tc>
      </w:tr>
      <w:tr w:rsidR="008A4ED2" w:rsidRPr="006B1204" w14:paraId="51E7AB1B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4F0D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8C39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16.12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392D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16.12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594B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16.12</w:t>
            </w:r>
          </w:p>
        </w:tc>
      </w:tr>
      <w:tr w:rsidR="008A4ED2" w:rsidRPr="006B1204" w14:paraId="4F447F17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C0BE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1F96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1,315/7,775 (17)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AE09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711/4,057 (18)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7668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604/3,718 (16)</w:t>
            </w:r>
          </w:p>
        </w:tc>
      </w:tr>
      <w:tr w:rsidR="008A4ED2" w:rsidRPr="006B1204" w14:paraId="69379554" w14:textId="77777777" w:rsidTr="008A4ED2">
        <w:trPr>
          <w:trHeight w:val="71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C647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i/>
                <w:i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i/>
                <w:iCs/>
                <w:color w:val="000000"/>
                <w:kern w:val="0"/>
                <w:sz w:val="22"/>
              </w:rPr>
              <w:t xml:space="preserve">Spousal characteristics </w:t>
            </w:r>
          </w:p>
        </w:tc>
      </w:tr>
      <w:tr w:rsidR="008A4ED2" w:rsidRPr="006B1204" w14:paraId="5F852E0A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89EC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years of schooling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FAA9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FE6C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43EA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54544F35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4228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C85C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5181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AA47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8A4ED2" w:rsidRPr="006B1204" w14:paraId="49975B41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F864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E824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9.00 (9.00, 12.00)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95BC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9.00 (9.00, 12.00)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3985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9.00 (9.00, 15.00)</w:t>
            </w:r>
          </w:p>
        </w:tc>
      </w:tr>
      <w:tr w:rsidR="008A4ED2" w:rsidRPr="006B1204" w14:paraId="6434B685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4A1C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049D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10.23 ± 4.00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D3CB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10.18 ± 3.75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FAF4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10.28 ± 4.25</w:t>
            </w:r>
          </w:p>
        </w:tc>
      </w:tr>
      <w:tr w:rsidR="008A4ED2" w:rsidRPr="006B1204" w14:paraId="7248F5D7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B0A3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2FFF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3BFB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DABE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21</w:t>
            </w:r>
          </w:p>
        </w:tc>
      </w:tr>
      <w:tr w:rsidR="008A4ED2" w:rsidRPr="006B1204" w14:paraId="079E6120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C1E0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90C8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1,816/7,775 (23)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22EA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924/4,057 (23)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4521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892/3,718 (24)</w:t>
            </w:r>
          </w:p>
        </w:tc>
      </w:tr>
      <w:tr w:rsidR="008A4ED2" w:rsidRPr="006B1204" w14:paraId="1A7493BD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0CC8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hukou status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286C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A055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BD48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0AB1CFC5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4849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1 Agricultural Hukou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F60E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3,899 (62)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58C2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1,853 (56)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DC4C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2,046 (68)</w:t>
            </w:r>
          </w:p>
        </w:tc>
      </w:tr>
      <w:tr w:rsidR="008A4ED2" w:rsidRPr="006B1204" w14:paraId="16A26792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C801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2 Non-agricultural Hukou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C110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2,421 (38)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55B3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1,465 (44)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8E62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956 (32)</w:t>
            </w:r>
          </w:p>
        </w:tc>
      </w:tr>
      <w:tr w:rsidR="008A4ED2" w:rsidRPr="006B1204" w14:paraId="3206589C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C1A3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58E9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1,455/7,775 (19)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BE0B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739/4,057 (18)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A11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716/3,718 (19)</w:t>
            </w:r>
          </w:p>
        </w:tc>
      </w:tr>
      <w:tr w:rsidR="008A4ED2" w:rsidRPr="006B1204" w14:paraId="2B09EAF7" w14:textId="77777777" w:rsidTr="008A4ED2">
        <w:trPr>
          <w:trHeight w:val="72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21D4F" w14:textId="77777777" w:rsidR="008A4ED2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i/>
                <w:iCs/>
                <w:color w:val="000000"/>
                <w:kern w:val="0"/>
                <w:sz w:val="22"/>
              </w:rPr>
            </w:pPr>
          </w:p>
          <w:p w14:paraId="72AB21DC" w14:textId="77777777" w:rsidR="008A4ED2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i/>
                <w:iCs/>
                <w:color w:val="000000"/>
                <w:kern w:val="0"/>
                <w:sz w:val="22"/>
              </w:rPr>
            </w:pPr>
          </w:p>
          <w:p w14:paraId="2A3EDDAC" w14:textId="77777777" w:rsidR="008A4ED2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i/>
                <w:iCs/>
                <w:color w:val="000000"/>
                <w:kern w:val="0"/>
                <w:sz w:val="22"/>
              </w:rPr>
            </w:pPr>
          </w:p>
          <w:p w14:paraId="48CAE6E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i/>
                <w:i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i/>
                <w:iCs/>
                <w:color w:val="000000"/>
                <w:kern w:val="0"/>
                <w:sz w:val="22"/>
              </w:rPr>
              <w:lastRenderedPageBreak/>
              <w:t xml:space="preserve">Parental characteristics </w:t>
            </w:r>
          </w:p>
        </w:tc>
      </w:tr>
      <w:tr w:rsidR="008A4ED2" w:rsidRPr="006B1204" w14:paraId="124B9BBC" w14:textId="77777777" w:rsidTr="008A4ED2">
        <w:trPr>
          <w:trHeight w:val="36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7C98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 xml:space="preserve">number of siblings in </w:t>
            </w:r>
            <w:proofErr w:type="spellStart"/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orignal</w:t>
            </w:r>
            <w:proofErr w:type="spellEnd"/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 xml:space="preserve"> family</w:t>
            </w:r>
          </w:p>
        </w:tc>
      </w:tr>
      <w:tr w:rsidR="008A4ED2" w:rsidRPr="006B1204" w14:paraId="6650A3DF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244A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08DD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E3C9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6106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</w:tr>
      <w:tr w:rsidR="008A4ED2" w:rsidRPr="006B1204" w14:paraId="7C6F7E44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9B6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56C6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 (2.00, 5.00)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D594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 (2.00, 5.00)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7D8A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3.00 (2.00, 4.00)</w:t>
            </w:r>
          </w:p>
        </w:tc>
      </w:tr>
      <w:tr w:rsidR="008A4ED2" w:rsidRPr="006B1204" w14:paraId="1312FD85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C03C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A5DC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3.63 ± 1.78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CB61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3.70 ± 1.79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29B0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3.55 ± 1.76</w:t>
            </w:r>
          </w:p>
        </w:tc>
      </w:tr>
      <w:tr w:rsidR="008A4ED2" w:rsidRPr="006B1204" w14:paraId="667F9A28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488D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2B9C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E1C6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460B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12</w:t>
            </w:r>
          </w:p>
        </w:tc>
      </w:tr>
      <w:tr w:rsidR="008A4ED2" w:rsidRPr="006B1204" w14:paraId="55608817" w14:textId="77777777" w:rsidTr="008A4ED2">
        <w:trPr>
          <w:trHeight w:val="36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9E19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 xml:space="preserve">birth order in </w:t>
            </w:r>
            <w:proofErr w:type="spellStart"/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orignal</w:t>
            </w:r>
            <w:proofErr w:type="spellEnd"/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 xml:space="preserve"> family</w:t>
            </w:r>
          </w:p>
        </w:tc>
      </w:tr>
      <w:tr w:rsidR="008A4ED2" w:rsidRPr="006B1204" w14:paraId="6E7D7F2F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1CE9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E865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38BC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6D7B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</w:tr>
      <w:tr w:rsidR="008A4ED2" w:rsidRPr="006B1204" w14:paraId="69FF8247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1EC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A263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 (1.00, 3.00)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9AE4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 (1.00, 3.00)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EC10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2.00 (1.00, 3.00)</w:t>
            </w:r>
          </w:p>
        </w:tc>
      </w:tr>
      <w:tr w:rsidR="008A4ED2" w:rsidRPr="006B1204" w14:paraId="6832BEEF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5D71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9DD3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2.25 ± 1.42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80F2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2.26 ± 1.43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9F6E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2.25 ± 1.42</w:t>
            </w:r>
          </w:p>
        </w:tc>
      </w:tr>
      <w:tr w:rsidR="008A4ED2" w:rsidRPr="006B1204" w14:paraId="01B91058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3B2A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AD7F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AEF7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1D44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11</w:t>
            </w:r>
          </w:p>
        </w:tc>
      </w:tr>
      <w:tr w:rsidR="008A4ED2" w:rsidRPr="006B1204" w14:paraId="11DDC1E1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4B91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years of schooling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C846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FB82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9C45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6A7CEA63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395C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5C03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CF94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3916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8A4ED2" w:rsidRPr="006B1204" w14:paraId="0B9FF174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8C1F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6E19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6.00 (3.00, 9.00)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8960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6.00 (3.00, 9.00)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F507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6.00 (3.00, 9.00)</w:t>
            </w:r>
          </w:p>
        </w:tc>
      </w:tr>
      <w:tr w:rsidR="008A4ED2" w:rsidRPr="006B1204" w14:paraId="0D459CFB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EB66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836E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6.23 ± 4.26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0141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6.32 ± 4.32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E8E4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6.13 ± 4.19</w:t>
            </w:r>
          </w:p>
        </w:tc>
      </w:tr>
      <w:tr w:rsidR="008A4ED2" w:rsidRPr="006B1204" w14:paraId="3F0B297D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3F27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9C2A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D716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5975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16</w:t>
            </w:r>
          </w:p>
        </w:tc>
      </w:tr>
      <w:tr w:rsidR="008A4ED2" w:rsidRPr="006B1204" w14:paraId="04736A9E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36E3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6EFB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743/7,775 (10)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830B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398/4,057 (10)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22E3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345/3,718 (9)</w:t>
            </w:r>
          </w:p>
        </w:tc>
      </w:tr>
      <w:tr w:rsidR="008A4ED2" w:rsidRPr="006B1204" w14:paraId="4D91B04A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DEE3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job sector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7898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3843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4F89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31A0B7FD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4F54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1 Private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1877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4,857 (72)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5E92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2,310 (65)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EFEC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2,547 (79)</w:t>
            </w:r>
          </w:p>
        </w:tc>
      </w:tr>
      <w:tr w:rsidR="008A4ED2" w:rsidRPr="006B1204" w14:paraId="2E94B0FA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F386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2 Public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2C86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1,910 (28)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F68F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1,230 (35)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BB3F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680 (21)</w:t>
            </w:r>
          </w:p>
        </w:tc>
      </w:tr>
      <w:tr w:rsidR="008A4ED2" w:rsidRPr="006B1204" w14:paraId="0716C0F1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625E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9333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1,008/7,775 (13)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F6B9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517/4,057 (13)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FAE8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491/3,718 (13)</w:t>
            </w:r>
          </w:p>
        </w:tc>
      </w:tr>
      <w:tr w:rsidR="008A4ED2" w:rsidRPr="006B1204" w14:paraId="291F197A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49FD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hukou status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5B19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B7CB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C90E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7D3832F7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11BF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1 Agricultural Hukou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A808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4,587 (77)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0FAC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2,100 (70)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09DF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2,487 (85)</w:t>
            </w:r>
          </w:p>
        </w:tc>
      </w:tr>
      <w:tr w:rsidR="008A4ED2" w:rsidRPr="006B1204" w14:paraId="69AAF0FC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816B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2 Non-agricultural Hukou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BE3A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1,336 (23)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9B65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901 (30)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6042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435 (15)</w:t>
            </w:r>
          </w:p>
        </w:tc>
      </w:tr>
      <w:tr w:rsidR="008A4ED2" w:rsidRPr="006B1204" w14:paraId="1D489E68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BEE0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8684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1,852/7,775 (24)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43EE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1,056/4,057 (26)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F2EF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796/3,718 (21)</w:t>
            </w:r>
          </w:p>
        </w:tc>
      </w:tr>
      <w:tr w:rsidR="008A4ED2" w:rsidRPr="006B1204" w14:paraId="0DAE7CAB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1C0F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CCP membership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3AA2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27FE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127B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3D6D01FE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15B0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 xml:space="preserve">   0 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non party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 xml:space="preserve"> member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DEA2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6,352 (91)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C55B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3,251 (89)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2651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3,101 (94)</w:t>
            </w:r>
          </w:p>
        </w:tc>
      </w:tr>
      <w:tr w:rsidR="008A4ED2" w:rsidRPr="006B1204" w14:paraId="2F63859F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230A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1 party member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09C0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622 (9)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DB47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411 (11)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04A6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211 (6)</w:t>
            </w:r>
          </w:p>
        </w:tc>
      </w:tr>
      <w:tr w:rsidR="008A4ED2" w:rsidRPr="006B1204" w14:paraId="4A8AAA46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9F8A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615D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801/7,775 (10)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0786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395/4,057 (10)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8C49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406/3,718 (11)</w:t>
            </w:r>
          </w:p>
        </w:tc>
      </w:tr>
      <w:tr w:rsidR="008A4ED2" w:rsidRPr="006B1204" w14:paraId="2644B916" w14:textId="77777777" w:rsidTr="008A4ED2">
        <w:trPr>
          <w:trHeight w:val="36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31BF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whether have any net worth</w:t>
            </w:r>
          </w:p>
        </w:tc>
      </w:tr>
      <w:tr w:rsidR="008A4ED2" w:rsidRPr="006B1204" w14:paraId="519C95B2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D391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4E94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4FC5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06E8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8A4ED2" w:rsidRPr="006B1204" w14:paraId="24DEA873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79C0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A055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0.00 (0.00, 0.00)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B04F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0.00 (0.00, 0.00)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A39F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0.00 (0.00, 0.00)</w:t>
            </w:r>
          </w:p>
        </w:tc>
      </w:tr>
      <w:tr w:rsidR="008A4ED2" w:rsidRPr="006B1204" w14:paraId="3F8E0638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1170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D137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0.09 ± 0.29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00D8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0.09 ± 0.29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4ADD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0.09 ± 0.28</w:t>
            </w:r>
          </w:p>
        </w:tc>
      </w:tr>
      <w:tr w:rsidR="008A4ED2" w:rsidRPr="006B1204" w14:paraId="002B50FE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1688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33F1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7EC2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AB69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</w:t>
            </w:r>
          </w:p>
        </w:tc>
      </w:tr>
      <w:tr w:rsidR="008A4ED2" w:rsidRPr="006B1204" w14:paraId="77CD74D4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ED21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F014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78/7,775 (1)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0836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51/4,057 (1)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A91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27/3,718 (1)</w:t>
            </w:r>
          </w:p>
        </w:tc>
      </w:tr>
      <w:tr w:rsidR="008A4ED2" w:rsidRPr="006B1204" w14:paraId="4CB015A3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7EB2B" w14:textId="77777777" w:rsidR="008A4ED2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</w:p>
          <w:p w14:paraId="6AD597BA" w14:textId="77777777" w:rsidR="008A4ED2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</w:p>
          <w:p w14:paraId="1F2AA2D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lastRenderedPageBreak/>
              <w:t>net worth (logged)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718D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lastRenderedPageBreak/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6D3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7A0C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</w:t>
            </w:r>
          </w:p>
        </w:tc>
      </w:tr>
      <w:tr w:rsidR="008A4ED2" w:rsidRPr="006B1204" w14:paraId="46FF4BB3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AE72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2B44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C1F2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94F17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</w:t>
            </w:r>
          </w:p>
        </w:tc>
      </w:tr>
      <w:tr w:rsidR="008A4ED2" w:rsidRPr="006B1204" w14:paraId="69765DE1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7EF1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C0FC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11.14 (9.16, 12.39)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56D7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11.28 (9.05, 12.53)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5BFA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11.02 (9.24, 12.26)</w:t>
            </w:r>
          </w:p>
        </w:tc>
      </w:tr>
      <w:tr w:rsidR="008A4ED2" w:rsidRPr="006B1204" w14:paraId="38AD352F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C765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6217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10.03 ± 3.71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E649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10.06 ± 3.79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5BBA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10.00 ± 3.62</w:t>
            </w:r>
          </w:p>
        </w:tc>
      </w:tr>
      <w:tr w:rsidR="008A4ED2" w:rsidRPr="006B1204" w14:paraId="10283066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E306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3C19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16.47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5FC4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16.47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CA58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16.12</w:t>
            </w:r>
          </w:p>
        </w:tc>
      </w:tr>
      <w:tr w:rsidR="008A4ED2" w:rsidRPr="006B1204" w14:paraId="760945A3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57D9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0D19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78/7,775 (1)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57AE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51/4,057 (1)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7C83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27/3,718 (1)</w:t>
            </w:r>
          </w:p>
        </w:tc>
      </w:tr>
      <w:tr w:rsidR="008A4ED2" w:rsidRPr="006B1204" w14:paraId="073DF37C" w14:textId="77777777" w:rsidTr="008A4ED2">
        <w:trPr>
          <w:trHeight w:val="36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185F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(parental) place of residence</w:t>
            </w:r>
          </w:p>
        </w:tc>
      </w:tr>
      <w:tr w:rsidR="008A4ED2" w:rsidRPr="006B1204" w14:paraId="607C8A2F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294D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1 Main City Zone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4F02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1,719 (24)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E896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1,290 (34)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9D77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429 (13)</w:t>
            </w:r>
          </w:p>
        </w:tc>
      </w:tr>
      <w:tr w:rsidR="008A4ED2" w:rsidRPr="006B1204" w14:paraId="296E3327" w14:textId="77777777" w:rsidTr="008A4ED2">
        <w:trPr>
          <w:trHeight w:val="71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E1AB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2 Combination Zone Between Urban and Rural Areas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2EE8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479 (7)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5EFB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373 (10)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AE3B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106 (3)</w:t>
            </w:r>
          </w:p>
        </w:tc>
      </w:tr>
      <w:tr w:rsidR="008A4ED2" w:rsidRPr="006B1204" w14:paraId="0B0B8272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D32F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3 The Town Center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7FDE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591 (8)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3484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414 (11)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9883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177 (5)</w:t>
            </w:r>
          </w:p>
        </w:tc>
      </w:tr>
      <w:tr w:rsidR="008A4ED2" w:rsidRPr="006B1204" w14:paraId="2196A825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8086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 xml:space="preserve">   4 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ZhenXiang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 xml:space="preserve"> Area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86CE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165 (2)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7C1C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69 (2)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2990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96 (3)</w:t>
            </w:r>
          </w:p>
        </w:tc>
      </w:tr>
      <w:tr w:rsidR="008A4ED2" w:rsidRPr="006B1204" w14:paraId="2D643930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D692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5 Special Area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81BF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28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4C26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17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362D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11 (0)</w:t>
            </w:r>
          </w:p>
        </w:tc>
      </w:tr>
      <w:tr w:rsidR="008A4ED2" w:rsidRPr="006B1204" w14:paraId="5AEB569D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2A0C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6 Township Central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FEBC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88 (1)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535B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23 (1)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99F9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65 (2)</w:t>
            </w:r>
          </w:p>
        </w:tc>
      </w:tr>
      <w:tr w:rsidR="008A4ED2" w:rsidRPr="006B1204" w14:paraId="786DC754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6B62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7 Village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7C0D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4,088 (57)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D4EB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1,614 (42)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2C50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2,474 (74)</w:t>
            </w:r>
          </w:p>
        </w:tc>
      </w:tr>
      <w:tr w:rsidR="008A4ED2" w:rsidRPr="006B1204" w14:paraId="0A80A02F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4D24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Unknown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3FC3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617/7,775 (8)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048BC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257/4,057 (6)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3445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360/3,718 (10)</w:t>
            </w:r>
          </w:p>
        </w:tc>
      </w:tr>
      <w:tr w:rsidR="008A4ED2" w:rsidRPr="006B1204" w14:paraId="76C4A031" w14:textId="77777777" w:rsidTr="008A4ED2">
        <w:trPr>
          <w:trHeight w:val="73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DECD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i/>
                <w:i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i/>
                <w:iCs/>
                <w:color w:val="000000"/>
                <w:kern w:val="0"/>
                <w:sz w:val="22"/>
              </w:rPr>
              <w:t>Controls</w:t>
            </w:r>
          </w:p>
        </w:tc>
      </w:tr>
      <w:tr w:rsidR="008A4ED2" w:rsidRPr="006B1204" w14:paraId="3DF79315" w14:textId="77777777" w:rsidTr="008A4ED2">
        <w:trPr>
          <w:trHeight w:val="36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263B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>(child's) place of residence</w:t>
            </w:r>
          </w:p>
        </w:tc>
      </w:tr>
      <w:tr w:rsidR="008A4ED2" w:rsidRPr="006B1204" w14:paraId="0402DDBB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26A5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1 Main City Zone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7548A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5,302 (68)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31B6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2,601 (64)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F469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2,701 (73)</w:t>
            </w:r>
          </w:p>
        </w:tc>
      </w:tr>
      <w:tr w:rsidR="008A4ED2" w:rsidRPr="006B1204" w14:paraId="0420B9EE" w14:textId="77777777" w:rsidTr="008A4ED2">
        <w:trPr>
          <w:trHeight w:val="71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0F31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2 Combination Zone Between Urban and Rural Areas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BE23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1,217 (16)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194C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590 (15)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5260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627 (17)</w:t>
            </w:r>
          </w:p>
        </w:tc>
      </w:tr>
      <w:tr w:rsidR="008A4ED2" w:rsidRPr="006B1204" w14:paraId="0C8CACB4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9BB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3 The Town Center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723B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1,256 (16)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2809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866 (21)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C21E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390 (10)</w:t>
            </w:r>
          </w:p>
        </w:tc>
      </w:tr>
      <w:tr w:rsidR="008A4ED2" w:rsidRPr="006B1204" w14:paraId="67FE8BED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A218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 xml:space="preserve">   4 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ZhenXiang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 xml:space="preserve"> Area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4EAF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7FFE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0C41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</w:tr>
      <w:tr w:rsidR="008A4ED2" w:rsidRPr="006B1204" w14:paraId="24CA5860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AF57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5 Special Area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6AA9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A778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97E9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</w:tr>
      <w:tr w:rsidR="008A4ED2" w:rsidRPr="006B1204" w14:paraId="00C5A088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D1579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6 Township Central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D7814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48F27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4AD9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</w:tr>
      <w:tr w:rsidR="008A4ED2" w:rsidRPr="006B1204" w14:paraId="7C0A6079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C26D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7 Village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C0BF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39E3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A0A4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0 (0)</w:t>
            </w:r>
          </w:p>
        </w:tc>
      </w:tr>
      <w:tr w:rsidR="008A4ED2" w:rsidRPr="006B1204" w14:paraId="3EFE2CE4" w14:textId="77777777" w:rsidTr="008A4ED2">
        <w:trPr>
          <w:trHeight w:val="700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3F1C0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b/>
                <w:bCs/>
                <w:color w:val="000000"/>
                <w:kern w:val="0"/>
                <w:sz w:val="22"/>
              </w:rPr>
              <w:t xml:space="preserve">average housing price in child's place of residence </w:t>
            </w:r>
          </w:p>
        </w:tc>
      </w:tr>
      <w:tr w:rsidR="008A4ED2" w:rsidRPr="006B1204" w14:paraId="1EA52C6D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CEE0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minimum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3B1F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7.89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0535D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7.89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AD473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7.89</w:t>
            </w:r>
          </w:p>
        </w:tc>
      </w:tr>
      <w:tr w:rsidR="008A4ED2" w:rsidRPr="006B1204" w14:paraId="0BEDFC89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613C2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median (IQR)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0E23B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8.30 (8.13, 8.52)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3A25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8.30 (8.16, 8.55)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894B6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8.30 (8.12, 8.49)</w:t>
            </w:r>
          </w:p>
        </w:tc>
      </w:tr>
      <w:tr w:rsidR="008A4ED2" w:rsidRPr="006B1204" w14:paraId="0B2F5B74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DD555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mean (</w:t>
            </w:r>
            <w:proofErr w:type="spellStart"/>
            <w:r w:rsidRPr="006B1204">
              <w:rPr>
                <w:rFonts w:eastAsia="等线"/>
                <w:color w:val="000000"/>
                <w:kern w:val="0"/>
                <w:sz w:val="22"/>
              </w:rPr>
              <w:t>sd</w:t>
            </w:r>
            <w:proofErr w:type="spellEnd"/>
            <w:r w:rsidRPr="006B1204">
              <w:rPr>
                <w:rFonts w:eastAsia="等线"/>
                <w:color w:val="000000"/>
                <w:kern w:val="0"/>
                <w:sz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DF53E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8.40 ± 0.39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643C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8.42 ± 0.40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33E0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8.37 ± 0.38</w:t>
            </w:r>
          </w:p>
        </w:tc>
      </w:tr>
      <w:tr w:rsidR="008A4ED2" w:rsidRPr="006B1204" w14:paraId="2E3032E1" w14:textId="77777777" w:rsidTr="008A4ED2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41A8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   maximum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98488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10.42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E1BB1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10.42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174F" w14:textId="77777777" w:rsidR="008A4ED2" w:rsidRPr="006B1204" w:rsidRDefault="008A4ED2" w:rsidP="008A4ED2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 w:rsidRPr="006B1204">
              <w:rPr>
                <w:rFonts w:eastAsia="等线"/>
                <w:color w:val="000000"/>
                <w:kern w:val="0"/>
                <w:sz w:val="22"/>
              </w:rPr>
              <w:t>10.42</w:t>
            </w:r>
          </w:p>
        </w:tc>
      </w:tr>
    </w:tbl>
    <w:p w14:paraId="2A90127B" w14:textId="7421AFE7" w:rsidR="008A4ED2" w:rsidRDefault="008A4ED2" w:rsidP="00FF7420">
      <w:pPr>
        <w:spacing w:before="163" w:after="163" w:line="240" w:lineRule="auto"/>
      </w:pPr>
    </w:p>
    <w:sectPr w:rsidR="008A4ED2" w:rsidSect="007D5EC0">
      <w:pgSz w:w="11906" w:h="16838"/>
      <w:pgMar w:top="1440" w:right="1083" w:bottom="1440" w:left="1083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2E12F" w14:textId="77777777" w:rsidR="001803BE" w:rsidRDefault="001803BE" w:rsidP="005F6661">
      <w:pPr>
        <w:spacing w:line="240" w:lineRule="auto"/>
      </w:pPr>
      <w:r>
        <w:separator/>
      </w:r>
    </w:p>
  </w:endnote>
  <w:endnote w:type="continuationSeparator" w:id="0">
    <w:p w14:paraId="4FBC8E4B" w14:textId="77777777" w:rsidR="001803BE" w:rsidRDefault="001803BE" w:rsidP="005F6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BBD27" w14:textId="77777777" w:rsidR="001803BE" w:rsidRDefault="001803BE" w:rsidP="005F6661">
      <w:pPr>
        <w:spacing w:line="240" w:lineRule="auto"/>
      </w:pPr>
      <w:r>
        <w:separator/>
      </w:r>
    </w:p>
  </w:footnote>
  <w:footnote w:type="continuationSeparator" w:id="0">
    <w:p w14:paraId="5B59E2BC" w14:textId="77777777" w:rsidR="001803BE" w:rsidRDefault="001803BE" w:rsidP="005F66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74F76"/>
    <w:multiLevelType w:val="hybridMultilevel"/>
    <w:tmpl w:val="FB9ACFCE"/>
    <w:lvl w:ilvl="0" w:tplc="C1A6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NLY0NjM3tAAyzZR0lIJTi4sz8/NACkxqAUzzKugsAAAA"/>
  </w:docVars>
  <w:rsids>
    <w:rsidRoot w:val="00111CA3"/>
    <w:rsid w:val="00027C52"/>
    <w:rsid w:val="00111CA3"/>
    <w:rsid w:val="001803BE"/>
    <w:rsid w:val="00292E15"/>
    <w:rsid w:val="002F4015"/>
    <w:rsid w:val="0032672A"/>
    <w:rsid w:val="00392446"/>
    <w:rsid w:val="00421901"/>
    <w:rsid w:val="00453CAE"/>
    <w:rsid w:val="004A2281"/>
    <w:rsid w:val="005F6661"/>
    <w:rsid w:val="00614C18"/>
    <w:rsid w:val="00622EB5"/>
    <w:rsid w:val="00633FF3"/>
    <w:rsid w:val="006A618F"/>
    <w:rsid w:val="006B1204"/>
    <w:rsid w:val="007A4668"/>
    <w:rsid w:val="007D5EC0"/>
    <w:rsid w:val="0088243A"/>
    <w:rsid w:val="00887B28"/>
    <w:rsid w:val="008A4ED2"/>
    <w:rsid w:val="009423B1"/>
    <w:rsid w:val="00A51408"/>
    <w:rsid w:val="00A74008"/>
    <w:rsid w:val="00B20704"/>
    <w:rsid w:val="00C948C9"/>
    <w:rsid w:val="00D052A1"/>
    <w:rsid w:val="00D36FFF"/>
    <w:rsid w:val="00D4260B"/>
    <w:rsid w:val="00D76AEA"/>
    <w:rsid w:val="00E356B7"/>
    <w:rsid w:val="00F03ABB"/>
    <w:rsid w:val="00F47D7C"/>
    <w:rsid w:val="00F629DD"/>
    <w:rsid w:val="00FA2053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18EF"/>
  <w15:chartTrackingRefBased/>
  <w15:docId w15:val="{98C43E66-6ADE-4322-8B49-BEC9D17B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仿宋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F666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6661"/>
  </w:style>
  <w:style w:type="character" w:styleId="EndnoteReference">
    <w:name w:val="endnote reference"/>
    <w:basedOn w:val="DefaultParagraphFont"/>
    <w:uiPriority w:val="99"/>
    <w:semiHidden/>
    <w:unhideWhenUsed/>
    <w:rsid w:val="005F6661"/>
    <w:rPr>
      <w:vertAlign w:val="superscript"/>
    </w:rPr>
  </w:style>
  <w:style w:type="table" w:styleId="TableGrid">
    <w:name w:val="Table Grid"/>
    <w:basedOn w:val="TableNormal"/>
    <w:uiPriority w:val="39"/>
    <w:rsid w:val="003267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3A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3A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3AB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74008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52A1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2A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052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2A097E-8EEA-4778-8933-C8F3E7ED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Langyi Tian</dc:creator>
  <cp:keywords/>
  <dc:description/>
  <cp:lastModifiedBy>Langyi Tian</cp:lastModifiedBy>
  <cp:revision>10</cp:revision>
  <cp:lastPrinted>2020-03-29T05:31:00Z</cp:lastPrinted>
  <dcterms:created xsi:type="dcterms:W3CDTF">2020-03-29T00:05:00Z</dcterms:created>
  <dcterms:modified xsi:type="dcterms:W3CDTF">2020-04-12T04:45:00Z</dcterms:modified>
</cp:coreProperties>
</file>