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 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8.42 *** (0.28)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6.38 *** (0.90)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8.17 *** (0.47)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4.18 ** (1.53)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price_child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***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***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***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*** (0.00)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urban_child2 Combination Zone Between Urban And Rural Areas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-0.19 **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-0.20 **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-0.23 * (0.10)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-0.24 * (0.10)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urban_child3 The Town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-0.20 ***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-0.22 ***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-0.32 *** (0.09)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-0.32 *** (0.09)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urban_child4 ZhenXiang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-0.36 *** (0.09)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-0.36 *** (0.09)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-0.23 (0.18)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-0.16 (0.18)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 (0.00)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 (0.01)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gender_childMale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-0.10 * (0.05)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-0.44 *** (0.13)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 (0.07)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 (0.19)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onlychildonly 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 (0.12)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(0.12)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 (0.10)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 (0.10)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numchildren_child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** (0.04)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 ** 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 (0.05)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education_years_child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***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***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***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*** (0.01)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education_years_spouse_child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* (0.01)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hukou_child2 Non-Agricultural Hukou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 **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 ***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-0.18 (0.10)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-0.17 (0.10)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hukou_spouse_child2 Non-agricultural Hukou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(0.06)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 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 (0.07)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party_childParty member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-0.12 (0.07)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 (0.07)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 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-0.04 (0.08)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jobcat_child2 Industrial workers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 *** 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 *** 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 ** (0.22)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0.58 ** (0.21)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jobcat_child3 Employees of services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 *** 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 *** 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 *** (0.21)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 *** (0.21)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jobcat_child4 Clerical personnel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 *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 *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0.73 ** (0.23)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 ** (0.22)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jobcat_child5 Professionals and Technicians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 ** (0.09)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 ** (0.09)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 ** (0.22)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0.72 *** (0.22)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jobcat_child6 State, social and enterprise managers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 *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0.71 ** (0.23)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0.70 ** (0.22)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income_child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 ***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 ***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 *** 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 *** (0.03)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education_years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 * (0.01)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job2 Private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 (0.07)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-0.02 (0.07)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 * (0.12)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 (0.12)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job3 State Controlled Firm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 (0.14)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(0.14)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 (0.12)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job4 Public institution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-0.09 (0.13)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-0.16 (0.13)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 ** (0.12)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0.20 (0.12)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job5 Government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 (0.12)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(0.12)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 * (0.13)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 (0.13)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job6 Collective Controlled Firm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 * (0.14)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0.19 (0.14)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 * (0.15)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 (0.15)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partyParty member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 (0.10)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 (0.10)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 (0.09)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 (0.09)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net_worth_real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 ***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0.05 ***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marriagehome_childParent buy marriage 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 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 (0.08)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 (0.09)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 (0.09)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1.56 *** (0.17)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2.10 *** (0.34)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homevalue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 *** (0.02)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 *** (0.03)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1.14 (0.81)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1.72 (1.26)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asset_fin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-0.06 (0.07)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-0.05 (0.10)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asset_durable_fixed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 (0.62)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 (0.93)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-0.07 (0.29)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1.13 (0.65)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asset_land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-0.00 (0.03)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 (0.07)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gender_childMale:homevalue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(0.01)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-0.01 (0.01)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gender_childMale:asset_fin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0.03 ** (0.01)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 (0.02)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    </w:t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0.28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 </w:t>
            </w:r>
          </w:p>
        </w:tc>
      </w:tr>
      <w:tr>
        <w:trPr>
          <w:cantSplit/>
          <w:trHeight w:val="360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2020-01-10T02:43:38Z</dcterms:modified>
  <cp:category/>
</cp:coreProperties>
</file>