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72" w:type="dxa"/>
        <w:tblCellMar>
          <w:left w:w="70" w:type="dxa"/>
          <w:right w:w="70" w:type="dxa"/>
        </w:tblCellMar>
        <w:tblLook w:val="0000"/>
      </w:tblPr>
      <w:tblGrid>
        <w:gridCol w:w="4962"/>
        <w:gridCol w:w="1984"/>
        <w:gridCol w:w="992"/>
        <w:gridCol w:w="2410"/>
      </w:tblGrid>
      <w:tr w:rsidR="00395456">
        <w:trPr>
          <w:cantSplit/>
        </w:trPr>
        <w:tc>
          <w:tcPr>
            <w:tcW w:w="4962" w:type="dxa"/>
            <w:vMerge w:val="restart"/>
            <w:shd w:val="clear" w:color="auto" w:fill="auto"/>
          </w:tcPr>
          <w:p w:rsidR="00395456" w:rsidRDefault="004543FB">
            <w:pPr>
              <w:pStyle w:val="Heading2"/>
              <w:numPr>
                <w:ilvl w:val="1"/>
                <w:numId w:val="1"/>
              </w:numPr>
              <w:spacing w:before="12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95456" w:rsidRDefault="00CE1F9E">
            <w:pPr>
              <w:snapToGrid w:val="0"/>
              <w:spacing w:before="240"/>
              <w:rPr>
                <w:spacing w:val="24"/>
                <w:sz w:val="28"/>
                <w:lang w:val="en-US" w:eastAsia="en-US"/>
              </w:rPr>
            </w:pPr>
            <w:r w:rsidRPr="00CE1F9E">
              <w:rPr>
                <w:spacing w:val="24"/>
                <w:sz w:val="28"/>
                <w:lang w:val="en-US" w:eastAsia="en-US"/>
              </w:rPr>
              <w:pict>
                <v:shape id="ole_rId2" o:spid="_x0000_i1025" style="width:78.75pt;height:81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spacing w:before="120"/>
              <w:ind w:left="3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395456">
            <w:pPr>
              <w:snapToGrid w:val="0"/>
              <w:ind w:left="397"/>
              <w:jc w:val="right"/>
              <w:rPr>
                <w:rFonts w:eastAsia="Wingdings" w:cs="Wingdings"/>
                <w:sz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Babits M. u. 2.</w:t>
            </w:r>
          </w:p>
        </w:tc>
      </w:tr>
      <w:tr w:rsidR="00395456">
        <w:trPr>
          <w:cantSplit/>
        </w:trPr>
        <w:tc>
          <w:tcPr>
            <w:tcW w:w="4962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</w:tcPr>
          <w:p w:rsidR="00395456" w:rsidRDefault="004543FB">
            <w:pPr>
              <w:ind w:left="397" w:hanging="497"/>
              <w:jc w:val="right"/>
              <w:rPr>
                <w:sz w:val="28"/>
              </w:rPr>
            </w:pPr>
            <w:r>
              <w:rPr>
                <w:rFonts w:ascii="Wingdings" w:eastAsia="Wingdings" w:hAnsi="Wingdings" w:cs="Wingdings"/>
                <w:sz w:val="28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06-33-504-080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1"/>
              <w:numPr>
                <w:ilvl w:val="0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rPr>
                <w:rFonts w:eastAsia="Wingdings" w:cs="Wingdings"/>
                <w:sz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395456" w:rsidRDefault="004543FB">
            <w:pPr>
              <w:ind w:left="397"/>
              <w:jc w:val="right"/>
              <w:rPr>
                <w:sz w:val="28"/>
              </w:rPr>
            </w:pPr>
            <w:r>
              <w:rPr>
                <w:rFonts w:ascii="Webdings" w:eastAsia="Webdings" w:hAnsi="Webdings" w:cs="Webdings"/>
                <w:sz w:val="28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395456" w:rsidRDefault="004543FB">
            <w:pPr>
              <w:ind w:left="499" w:hanging="499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06-33-504-081</w:t>
            </w:r>
          </w:p>
        </w:tc>
      </w:tr>
      <w:tr w:rsidR="00395456">
        <w:trPr>
          <w:cantSplit/>
        </w:trPr>
        <w:tc>
          <w:tcPr>
            <w:tcW w:w="4962" w:type="dxa"/>
            <w:shd w:val="clear" w:color="auto" w:fill="auto"/>
          </w:tcPr>
          <w:p w:rsidR="00395456" w:rsidRDefault="004543FB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</w:rPr>
            </w:pPr>
            <w:r>
              <w:rPr>
                <w:rFonts w:eastAsia="Webdings" w:cs="Webdings"/>
                <w:b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395456" w:rsidRDefault="00395456">
            <w:pPr>
              <w:snapToGrid w:val="0"/>
              <w:spacing w:after="120"/>
              <w:rPr>
                <w:rFonts w:eastAsia="Webdings" w:cs="Webdings"/>
                <w:b/>
                <w:sz w:val="28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E-mail:kor-ker@kor-ker.hu</w:t>
            </w:r>
          </w:p>
          <w:p w:rsidR="00395456" w:rsidRDefault="004543FB">
            <w:pPr>
              <w:ind w:left="639" w:hanging="52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http://www.kor-ker.hu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A NAT által NAT-1-1002/2012 számon akkreditált vizsgálólaboratórium.</w:t>
            </w:r>
          </w:p>
        </w:tc>
      </w:tr>
      <w:tr w:rsidR="00395456">
        <w:trPr>
          <w:cantSplit/>
        </w:trPr>
        <w:tc>
          <w:tcPr>
            <w:tcW w:w="10348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395456" w:rsidRDefault="004543FB">
            <w:pPr>
              <w:pStyle w:val="Heading3"/>
              <w:numPr>
                <w:ilvl w:val="2"/>
                <w:numId w:val="1"/>
              </w:numPr>
              <w:spacing w:before="0" w:after="0"/>
              <w:ind w:left="0" w:firstLine="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395456" w:rsidRDefault="00395456">
      <w:pPr>
        <w:rPr>
          <w:rFonts w:eastAsia="Webdings" w:cs="Webdings"/>
        </w:rPr>
      </w:pPr>
    </w:p>
    <w:p w:rsidR="00395456" w:rsidRDefault="004543FB">
      <w:pPr>
        <w:jc w:val="center"/>
        <w:rPr>
          <w:b/>
          <w:sz w:val="32"/>
          <w:szCs w:val="32"/>
        </w:rPr>
      </w:pPr>
      <w:r>
        <w:rPr>
          <w:rFonts w:eastAsia="Webdings" w:cs="Webdings"/>
          <w:b/>
          <w:sz w:val="32"/>
          <w:szCs w:val="32"/>
        </w:rPr>
        <w:t>Mintavétel szennyvízből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Megbízó neve és címe (kódja):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Pr="004D1DCA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/>
        </w:rPr>
      </w:pPr>
      <w:r>
        <w:rPr>
          <w:rFonts w:eastAsia="Webdings" w:cs="Webdings"/>
          <w:szCs w:val="24"/>
        </w:rPr>
        <w:t>A mintavétel célja:</w:t>
      </w:r>
      <w:r w:rsidR="004D1DCA">
        <w:rPr>
          <w:rFonts w:eastAsia="Webdings" w:cs="Webdings"/>
          <w:szCs w:val="24"/>
        </w:rPr>
        <w:t xml:space="preserve"> opel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Mintavételi hely meghatározása: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dátuma:</w:t>
      </w:r>
      <w:r w:rsidR="004D1DCA">
        <w:rPr>
          <w:rFonts w:eastAsia="Webdings" w:cs="Webdings"/>
          <w:szCs w:val="24"/>
        </w:rPr>
        <w:t xml:space="preserve"> 0220-02-20</w:t>
      </w:r>
      <w:r w:rsidR="005B3668">
        <w:rPr>
          <w:rFonts w:eastAsia="Webdings" w:cs="Webdings"/>
          <w:szCs w:val="24"/>
        </w:rPr>
        <w:t/>
      </w:r>
      <w:r w:rsidR="004D1DCA">
        <w:rPr>
          <w:rFonts w:eastAsia="Webdings" w:cs="Webdings"/>
          <w:szCs w:val="24"/>
        </w:rPr>
        <w:t xml:space="preserve"/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Mintavételi szabvány száma: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Mintavétel módszere:</w:t>
      </w:r>
      <w:r w:rsidR="004D1DCA">
        <w:rPr>
          <w:rFonts w:eastAsia="Webdings" w:cs="Webdings"/>
          <w:szCs w:val="24"/>
        </w:rPr>
        <w:t xml:space="preserve"> opel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pontminta:</w:t>
      </w:r>
      <w:r w:rsidR="004D1DCA">
        <w:rPr>
          <w:rFonts w:eastAsia="Webdings" w:cs="Webdings"/>
          <w:szCs w:val="24"/>
        </w:rPr>
        <w:t xml:space="preserve"> tes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időarányos átlagminta:</w:t>
      </w:r>
      <w:r w:rsidR="004D1DCA">
        <w:rPr>
          <w:rFonts w:eastAsia="Webdings" w:cs="Webdings"/>
          <w:szCs w:val="24"/>
        </w:rPr>
        <w:t xml:space="preserve"> tes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hozamarányos átlagminta:</w:t>
      </w:r>
      <w:r w:rsidR="004D1DCA">
        <w:rPr>
          <w:rFonts w:eastAsia="Webdings" w:cs="Webdings"/>
          <w:szCs w:val="24"/>
        </w:rPr>
        <w:t xml:space="preserve"> tes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ab/>
        <w:t>alkalmazott eszköz:</w:t>
      </w:r>
      <w:r w:rsidR="004D1DCA">
        <w:rPr>
          <w:rFonts w:eastAsia="Webdings" w:cs="Webdings"/>
          <w:szCs w:val="24"/>
        </w:rPr>
        <w:t xml:space="preserve"> undefined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</w:rPr>
      </w:pPr>
      <w:r>
        <w:rPr>
          <w:rFonts w:eastAsia="Webdings" w:cs="Webdings"/>
          <w:szCs w:val="24"/>
        </w:rPr>
        <w:t>A minták közti időtartam vagy hozam (perc vagy m</w:t>
      </w:r>
      <w:r>
        <w:rPr>
          <w:rFonts w:eastAsia="Webdings" w:cs="Webdings"/>
          <w:szCs w:val="24"/>
          <w:vertAlign w:val="superscript"/>
        </w:rPr>
        <w:t>3</w:t>
      </w:r>
      <w:r>
        <w:rPr>
          <w:rFonts w:eastAsia="Webdings" w:cs="Webdings"/>
          <w:szCs w:val="24"/>
        </w:rPr>
        <w:t>):</w:t>
      </w:r>
      <w:r w:rsidR="004D1DCA">
        <w:rPr>
          <w:rFonts w:eastAsia="Webdings" w:cs="Webdings"/>
          <w:szCs w:val="24"/>
        </w:rPr>
        <w:t xml:space="preserve"> 1212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jc w:val="both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pontminták térfogata (ml):</w:t>
      </w:r>
      <w:r w:rsidR="004D1DCA">
        <w:rPr>
          <w:rFonts w:eastAsia="Webdings" w:cs="Webdings"/>
          <w:szCs w:val="24"/>
        </w:rPr>
        <w:t xml:space="preserve"> 21221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kezdete:</w:t>
      </w:r>
      <w:r w:rsidR="004D1DCA">
        <w:rPr>
          <w:rFonts w:eastAsia="Webdings" w:cs="Webdings"/>
          <w:szCs w:val="24"/>
        </w:rPr>
        <w:t xml:space="preserve"> 2121-02-12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 vége:</w:t>
      </w:r>
      <w:r w:rsidR="004D1DCA">
        <w:rPr>
          <w:rFonts w:eastAsia="Webdings" w:cs="Webdings"/>
          <w:szCs w:val="24"/>
        </w:rPr>
        <w:t xml:space="preserve"> 0001-02-12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 jele:</w:t>
      </w:r>
      <w:r w:rsidR="004D1DCA">
        <w:rPr>
          <w:rFonts w:eastAsia="Webdings" w:cs="Webdings"/>
          <w:szCs w:val="24"/>
        </w:rPr>
        <w:t xml:space="preserve"> teszt</w:t>
      </w:r>
    </w:p>
    <w:p w:rsidR="00395456" w:rsidRDefault="004543FB">
      <w:pPr>
        <w:tabs>
          <w:tab w:val="left" w:pos="5670"/>
          <w:tab w:val="left" w:pos="7655"/>
        </w:tabs>
        <w:spacing w:before="120"/>
        <w:ind w:right="-659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tartósításra és mintavételre vonatkozó szabvány száma:</w:t>
      </w:r>
      <w:r>
        <w:rPr>
          <w:rFonts w:eastAsia="Webdings" w:cs="Webdings"/>
          <w:szCs w:val="24"/>
        </w:rPr>
        <w:tab/>
        <w:t xml:space="preserve">MSZ EN ISO 5667-3:2004 (visszavont </w:t>
      </w:r>
      <w:r>
        <w:rPr>
          <w:rFonts w:eastAsia="Webdings" w:cs="Webdings"/>
          <w:szCs w:val="24"/>
        </w:rPr>
        <w:tab/>
        <w:t>szabvány), MSZ ISO 5667-10:1995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Vizsgálandó komponensek:</w:t>
      </w:r>
      <w:r w:rsidR="004D1DCA">
        <w:rPr>
          <w:rFonts w:eastAsia="Webdings" w:cs="Webdings"/>
          <w:szCs w:val="24"/>
        </w:rPr>
        <w:t xml:space="preserve"> tesz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Helyszíni mérések szabványai és a mérési eredmények: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pH (</w:t>
      </w:r>
      <w:r>
        <w:rPr>
          <w:rStyle w:val="PageNumber"/>
          <w:rFonts w:eastAsia="Webdings" w:cs="Webdings"/>
          <w:szCs w:val="24"/>
        </w:rPr>
        <w:t>MSZ 1484-22:2009)</w:t>
      </w:r>
      <w:r>
        <w:rPr>
          <w:rFonts w:eastAsia="Webdings" w:cs="Webdings"/>
          <w:szCs w:val="24"/>
        </w:rPr>
        <w:t>:</w:t>
      </w:r>
      <w:r>
        <w:rPr>
          <w:rFonts w:eastAsia="Webdings" w:cs="Webdings"/>
          <w:szCs w:val="24"/>
        </w:rPr>
        <w:tab/>
      </w:r>
      <w:r>
        <w:rPr>
          <w:rFonts w:eastAsia="Webdings" w:cs="Webdings"/>
          <w:szCs w:val="24"/>
        </w:rPr>
        <w:tab/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Vezetőképesség (</w:t>
      </w:r>
      <w:r>
        <w:rPr>
          <w:rStyle w:val="PageNumber"/>
          <w:rFonts w:eastAsia="Webdings" w:cs="Webdings"/>
          <w:szCs w:val="24"/>
        </w:rPr>
        <w:t>MSZ EN 27888:1998)</w:t>
      </w:r>
      <w:r>
        <w:rPr>
          <w:rFonts w:eastAsia="Webdings" w:cs="Webdings"/>
          <w:szCs w:val="24"/>
        </w:rPr>
        <w:t xml:space="preserve"> (µS/cm):</w:t>
      </w:r>
      <w:r w:rsidR="004D1DCA">
        <w:rPr>
          <w:rFonts w:eastAsia="Webdings" w:cs="Webdings"/>
          <w:szCs w:val="24"/>
        </w:rPr>
        <w:t xml:space="preserve"> tesz</w:t>
      </w:r>
    </w:p>
    <w:p w:rsidR="00395456" w:rsidRDefault="004543FB">
      <w:pPr>
        <w:tabs>
          <w:tab w:val="left" w:pos="567"/>
          <w:tab w:val="left" w:pos="2835"/>
          <w:tab w:val="left" w:pos="5387"/>
          <w:tab w:val="left" w:pos="7655"/>
        </w:tabs>
        <w:spacing w:before="120"/>
      </w:pPr>
      <w:r>
        <w:rPr>
          <w:rFonts w:eastAsia="Webdings" w:cs="Webdings"/>
          <w:szCs w:val="24"/>
        </w:rPr>
        <w:t>Vízhőmérséklet (</w:t>
      </w:r>
      <w:r>
        <w:rPr>
          <w:rStyle w:val="PageNumber"/>
          <w:rFonts w:eastAsia="Webdings" w:cs="Webdings"/>
          <w:szCs w:val="24"/>
        </w:rPr>
        <w:t>MSZ 260-2:1955)</w:t>
      </w:r>
      <w:r>
        <w:rPr>
          <w:rFonts w:eastAsia="Webdings" w:cs="Webdings"/>
          <w:szCs w:val="24"/>
        </w:rPr>
        <w:t xml:space="preserve"> (°C): </w:t>
      </w:r>
      <w:r w:rsidR="004D1DCA">
        <w:rPr>
          <w:rFonts w:eastAsia="Webdings" w:cs="Webdings"/>
          <w:szCs w:val="24"/>
        </w:rPr>
        <w:t xml:space="preserve">tesz</w:t>
      </w:r>
    </w:p>
    <w:p w:rsidR="00395456" w:rsidRDefault="00395456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 w:val="22"/>
          <w:szCs w:val="22"/>
        </w:rPr>
      </w:pP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1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Megjegyzések:</w:t>
      </w:r>
      <w:r w:rsidR="004D1DCA">
        <w:rPr>
          <w:rFonts w:eastAsia="Webdings" w:cs="Webdings"/>
          <w:szCs w:val="24"/>
        </w:rPr>
        <w:t xml:space="preserve"> 2120</w:t>
      </w:r>
    </w:p>
    <w:p w:rsidR="00395456" w:rsidRDefault="004543FB">
      <w:pPr>
        <w:tabs>
          <w:tab w:val="left" w:pos="567"/>
          <w:tab w:val="left" w:pos="2835"/>
          <w:tab w:val="left" w:pos="5670"/>
          <w:tab w:val="left" w:pos="7655"/>
        </w:tabs>
        <w:spacing w:before="720"/>
        <w:rPr>
          <w:rFonts w:eastAsia="Webdings" w:cs="Webdings"/>
          <w:szCs w:val="24"/>
        </w:rPr>
      </w:pPr>
      <w:r>
        <w:rPr>
          <w:rFonts w:eastAsia="Webdings" w:cs="Webdings"/>
          <w:szCs w:val="24"/>
        </w:rPr>
        <w:t>A mintavételt végző neve és aláírása:</w:t>
      </w:r>
    </w:p>
    <w:sectPr w:rsidR="00395456" w:rsidSect="00395456">
      <w:footerReference w:type="default" r:id="rId8"/>
      <w:pgSz w:w="12240" w:h="15840"/>
      <w:pgMar w:top="340" w:right="1418" w:bottom="567" w:left="1418" w:header="0" w:footer="28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0A" w:rsidRDefault="00B05D0A" w:rsidP="00395456">
      <w:r>
        <w:separator/>
      </w:r>
    </w:p>
  </w:endnote>
  <w:endnote w:type="continuationSeparator" w:id="1">
    <w:p w:rsidR="00B05D0A" w:rsidRDefault="00B05D0A" w:rsidP="0039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456" w:rsidRDefault="004543FB">
    <w:pPr>
      <w:pStyle w:val="Footer"/>
      <w:ind w:right="901"/>
      <w:jc w:val="center"/>
      <w:rPr>
        <w:sz w:val="20"/>
      </w:rPr>
    </w:pPr>
    <w:r>
      <w:rPr>
        <w:sz w:val="20"/>
      </w:rPr>
      <w:t>szvmjkv v 3</w:t>
    </w:r>
    <w:r>
      <w:rPr>
        <w:sz w:val="20"/>
      </w:rPr>
      <w:tab/>
      <w:t xml:space="preserve">      4. kiadás</w:t>
    </w:r>
    <w:r>
      <w:rPr>
        <w:sz w:val="20"/>
      </w:rPr>
      <w:tab/>
      <w:t>2013.05.15</w:t>
    </w:r>
  </w:p>
  <w:p w:rsidR="00395456" w:rsidRDefault="00CE1F9E">
    <w:pPr>
      <w:pStyle w:val="Footer"/>
      <w:jc w:val="center"/>
    </w:pPr>
    <w:r w:rsidRPr="00CE1F9E">
      <w:rPr>
        <w:rStyle w:val="PageNumber"/>
        <w:sz w:val="20"/>
      </w:rPr>
      <w:fldChar w:fldCharType="begin"/>
    </w:r>
    <w:r w:rsidR="004543FB">
      <w:instrText>PAGE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/</w:t>
    </w:r>
    <w:r w:rsidRPr="00CE1F9E">
      <w:rPr>
        <w:rStyle w:val="PageNumber"/>
        <w:sz w:val="20"/>
      </w:rPr>
      <w:fldChar w:fldCharType="begin"/>
    </w:r>
    <w:r w:rsidR="004543FB">
      <w:instrText>NUMPAGES \* ARABIC</w:instrText>
    </w:r>
    <w:r>
      <w:fldChar w:fldCharType="separate"/>
    </w:r>
    <w:r w:rsidR="005B3668">
      <w:rPr>
        <w:noProof/>
      </w:rPr>
      <w:t>1</w:t>
    </w:r>
    <w:r>
      <w:fldChar w:fldCharType="end"/>
    </w:r>
    <w:r w:rsidR="004543FB">
      <w:rPr>
        <w:rStyle w:val="PageNumber"/>
        <w:sz w:val="20"/>
      </w:rPr>
      <w:t>. oldal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0A" w:rsidRDefault="00B05D0A" w:rsidP="00395456">
      <w:r>
        <w:separator/>
      </w:r>
    </w:p>
  </w:footnote>
  <w:footnote w:type="continuationSeparator" w:id="1">
    <w:p w:rsidR="00B05D0A" w:rsidRDefault="00B05D0A" w:rsidP="0039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F04"/>
    <w:multiLevelType w:val="multilevel"/>
    <w:tmpl w:val="3AB209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456"/>
    <w:rsid w:val="00395456"/>
    <w:rsid w:val="004543FB"/>
    <w:rsid w:val="004D1DCA"/>
    <w:rsid w:val="005B3668"/>
    <w:rsid w:val="00B05D0A"/>
    <w:rsid w:val="00CE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456"/>
    <w:pPr>
      <w:widowControl w:val="0"/>
      <w:suppressAutoHyphens/>
    </w:pPr>
    <w:rPr>
      <w:rFonts w:ascii="Times New Roman" w:eastAsia="Times New Roman" w:hAnsi="Times New Roman" w:cs="Times New Roman"/>
      <w:sz w:val="24"/>
      <w:szCs w:val="20"/>
      <w:lang w:val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395456"/>
    <w:pPr>
      <w:keepNext/>
      <w:widowControl/>
      <w:tabs>
        <w:tab w:val="num" w:pos="432"/>
      </w:tabs>
      <w:ind w:left="432" w:hanging="432"/>
      <w:outlineLvl w:val="0"/>
    </w:pPr>
    <w:rPr>
      <w:b/>
      <w:sz w:val="28"/>
    </w:rPr>
  </w:style>
  <w:style w:type="paragraph" w:customStyle="1" w:styleId="Heading2">
    <w:name w:val="Heading 2"/>
    <w:basedOn w:val="Norml"/>
    <w:next w:val="Norml"/>
    <w:qFormat/>
    <w:rsid w:val="00395456"/>
    <w:pPr>
      <w:keepNext/>
      <w:widowControl/>
      <w:tabs>
        <w:tab w:val="num" w:pos="576"/>
      </w:tabs>
      <w:ind w:left="576" w:hanging="576"/>
      <w:outlineLvl w:val="1"/>
    </w:pPr>
    <w:rPr>
      <w:b/>
      <w:shadow/>
      <w:sz w:val="48"/>
    </w:rPr>
  </w:style>
  <w:style w:type="paragraph" w:customStyle="1" w:styleId="Heading3">
    <w:name w:val="Heading 3"/>
    <w:basedOn w:val="Norml"/>
    <w:next w:val="Norml"/>
    <w:qFormat/>
    <w:rsid w:val="00395456"/>
    <w:pPr>
      <w:keepNext/>
      <w:widowControl/>
      <w:tabs>
        <w:tab w:val="num" w:pos="720"/>
      </w:tabs>
      <w:spacing w:before="120" w:after="120"/>
      <w:ind w:left="454"/>
      <w:jc w:val="center"/>
      <w:outlineLvl w:val="2"/>
    </w:pPr>
    <w:rPr>
      <w:sz w:val="28"/>
    </w:rPr>
  </w:style>
  <w:style w:type="paragraph" w:customStyle="1" w:styleId="Heading4">
    <w:name w:val="Heading 4"/>
    <w:basedOn w:val="Norml"/>
    <w:next w:val="Norml"/>
    <w:qFormat/>
    <w:rsid w:val="00395456"/>
    <w:pPr>
      <w:keepNext/>
      <w:widowControl/>
      <w:tabs>
        <w:tab w:val="num" w:pos="864"/>
      </w:tabs>
      <w:spacing w:after="120"/>
      <w:ind w:left="864" w:hanging="864"/>
      <w:jc w:val="center"/>
      <w:outlineLvl w:val="3"/>
    </w:pPr>
    <w:rPr>
      <w:sz w:val="28"/>
    </w:rPr>
  </w:style>
  <w:style w:type="paragraph" w:customStyle="1" w:styleId="Heading7">
    <w:name w:val="Heading 7"/>
    <w:basedOn w:val="Norml"/>
    <w:next w:val="Norml"/>
    <w:qFormat/>
    <w:rsid w:val="00395456"/>
    <w:pPr>
      <w:keepNext/>
      <w:widowControl/>
      <w:tabs>
        <w:tab w:val="num" w:pos="1296"/>
      </w:tabs>
      <w:spacing w:before="120"/>
      <w:ind w:left="1296" w:hanging="1296"/>
      <w:outlineLvl w:val="6"/>
    </w:pPr>
  </w:style>
  <w:style w:type="character" w:customStyle="1" w:styleId="PageNumber">
    <w:name w:val="Page Number"/>
    <w:basedOn w:val="Bekezdsalapbettpusa"/>
    <w:rsid w:val="00395456"/>
  </w:style>
  <w:style w:type="character" w:customStyle="1" w:styleId="llbChar">
    <w:name w:val="Élőláb Char"/>
    <w:qFormat/>
    <w:rsid w:val="00395456"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l"/>
    <w:next w:val="TextBody"/>
    <w:qFormat/>
    <w:rsid w:val="003954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l"/>
    <w:rsid w:val="00395456"/>
    <w:pPr>
      <w:spacing w:after="140" w:line="288" w:lineRule="auto"/>
    </w:pPr>
  </w:style>
  <w:style w:type="paragraph" w:styleId="Lista">
    <w:name w:val="List"/>
    <w:basedOn w:val="TextBody"/>
    <w:rsid w:val="00395456"/>
    <w:rPr>
      <w:rFonts w:cs="FreeSans"/>
    </w:rPr>
  </w:style>
  <w:style w:type="paragraph" w:customStyle="1" w:styleId="Caption">
    <w:name w:val="Caption"/>
    <w:basedOn w:val="Norml"/>
    <w:qFormat/>
    <w:rsid w:val="0039545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395456"/>
    <w:pPr>
      <w:suppressLineNumbers/>
    </w:pPr>
    <w:rPr>
      <w:rFonts w:cs="FreeSans"/>
    </w:rPr>
  </w:style>
  <w:style w:type="paragraph" w:styleId="Buborkszveg">
    <w:name w:val="Balloon Text"/>
    <w:basedOn w:val="Norml"/>
    <w:qFormat/>
    <w:rsid w:val="00395456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395456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395456"/>
    <w:pPr>
      <w:suppressLineNumbers/>
    </w:pPr>
  </w:style>
  <w:style w:type="paragraph" w:customStyle="1" w:styleId="TableHeading">
    <w:name w:val="Table Heading"/>
    <w:basedOn w:val="TableContents"/>
    <w:qFormat/>
    <w:rsid w:val="00395456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1DCA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1DCA"/>
    <w:rPr>
      <w:rFonts w:ascii="Times New Roman" w:eastAsia="Times New Roman" w:hAnsi="Times New Roman" w:cs="Times New Roman"/>
      <w:szCs w:val="20"/>
      <w:lang w:val="hu-HU"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4D1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KÖR-KER</dc:title>
  <dc:creator>Czap Zoltán</dc:creator>
  <cp:lastModifiedBy>ltamas4</cp:lastModifiedBy>
  <cp:revision>3</cp:revision>
  <cp:lastPrinted>2012-07-19T16:40:00Z</cp:lastPrinted>
  <dcterms:created xsi:type="dcterms:W3CDTF">2015-12-23T05:19:00Z</dcterms:created>
  <dcterms:modified xsi:type="dcterms:W3CDTF">2015-12-23T06:09:00Z</dcterms:modified>
  <dc:language>en-US</dc:language>
</cp:coreProperties>
</file>