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b/>
          <w:bCs/>
          <w:color w:val="1E3A5F"/>
          <w:sz w:val="48"/>
          <w:szCs w:val="48"/>
        </w:rPr>
        <w:t xml:space="preserve">SYNTHÈSE FONCTIONNELLE</w:t>
      </w:r>
    </w:p>
    <w:p>
      <w:pPr>
        <w:spacing w:after="300"/>
        <w:jc w:val="center"/>
      </w:pPr>
      <w:r>
        <w:rPr>
          <w:b/>
          <w:bCs/>
          <w:color w:val="2563EB"/>
          <w:sz w:val="28"/>
          <w:szCs w:val="28"/>
        </w:rPr>
        <w:t xml:space="preserve">Application de planning — établissement EHPAD</w:t>
      </w:r>
    </w:p>
    <w:p>
      <w:pPr>
        <w:pBdr>
          <w:bottom w:val="single" w:color="2563EB" w:sz="16" w:space="8"/>
        </w:pBdr>
        <w:spacing w:after="600"/>
        <w:jc w:val="center"/>
      </w:pPr>
      <w:r>
        <w:rPr>
          <w:sz w:val="4"/>
          <w:szCs w:val="4"/>
        </w:rPr>
        <w:t xml:space="preserve"> </w:t>
      </w:r>
    </w:p>
    <w:p>
      <w:pPr>
        <w:spacing w:after="800"/>
        <w:jc w:val="center"/>
      </w:pPr>
      <w:r>
        <w:rPr>
          <w:i/>
          <w:iCs/>
          <w:color w:val="64748B"/>
          <w:sz w:val="22"/>
          <w:szCs w:val="22"/>
        </w:rPr>
        <w:t xml:space="preserve">Ce document reprend, sous une forme proche d'un cahier des charges, l'ensemble des éléments fonctionnels de l'application décidés à ce jour : d'une part ceux déjà présents dans la maquette graphique (Partie 1), d'autre part les décisions structurantes prises en préparation du backend (Partie 2). Il décrit ce que l'application permet ou permettra de faire, sans détail d'implémentation, et est mis à jour au fil des échanges.</w:t>
      </w:r>
    </w:p>
    <w:p>
      <w:pPr>
        <w:pStyle w:val="Heading2"/>
        <w:spacing w:after="140" w:before="280"/>
      </w:pPr>
      <w:r>
        <w:rPr>
          <w:b/>
          <w:bCs/>
          <w:color w:val="2563EB"/>
          <w:sz w:val="25"/>
          <w:szCs w:val="25"/>
        </w:rPr>
        <w:t xml:space="preserve">Périmètre actuel</w:t>
      </w:r>
    </w:p>
    <w:p>
      <w:pPr>
        <w:spacing w:after="160" w:line="300"/>
        <w:jc w:val="both"/>
      </w:pPr>
      <w:r>
        <w:rPr>
          <w:color w:val="334155"/>
          <w:sz w:val="22"/>
          <w:szCs w:val="22"/>
        </w:rPr>
        <w:t xml:space="preserve">L'application est à ce stade une </w:t>
      </w:r>
      <w:r>
        <w:rPr>
          <w:b/>
          <w:bCs/>
          <w:color w:val="334155"/>
          <w:sz w:val="22"/>
          <w:szCs w:val="22"/>
        </w:rPr>
        <w:t xml:space="preserve">maquette interactive</w:t>
      </w:r>
      <w:r>
        <w:rPr>
          <w:color w:val="334155"/>
          <w:sz w:val="22"/>
          <w:szCs w:val="22"/>
        </w:rPr>
        <w:t xml:space="preserve"> : elle permet de valider les écrans et les comportements attendus, mais fonctionne avec des données de démonstration fictives, sans compte utilisateur réel ni sauvegarde durable des modifications (les données de démonstration sont réinitialisées à chaque nouvelle visite).</w:t>
      </w:r>
    </w:p>
    <w:p>
      <w:pPr>
        <w:pBdr>
          <w:bottom w:val="single" w:color="CBD5E1" w:sz="6" w:space="1"/>
        </w:pBdr>
        <w:spacing w:after="300" w:before="120"/>
      </w:pPr>
    </w:p>
    <w:p>
      <w:pPr>
        <w:shd w:fill="1E3A5F" w:val="clear"/>
        <w:spacing w:after="400" w:before="500"/>
        <w:jc w:val="left"/>
      </w:pPr>
      <w:r>
        <w:rPr>
          <w:b/>
          <w:bCs/>
          <w:color w:val="FFFFFF"/>
          <w:sz w:val="30"/>
          <w:szCs w:val="30"/>
        </w:rPr>
        <w:t xml:space="preserve">  PARTIE 1 — ÉCRANS ET PARCOURS (MAQUETTE GRAPHIQUE)</w:t>
      </w:r>
    </w:p>
    <w:p>
      <w:pPr>
        <w:pStyle w:val="Heading1"/>
        <w:pBdr>
          <w:bottom w:val="single" w:color="2563EB" w:sz="8" w:space="6"/>
        </w:pBdr>
        <w:spacing w:after="200" w:before="420"/>
      </w:pPr>
      <w:r>
        <w:rPr>
          <w:b/>
          <w:bCs/>
          <w:color w:val="2563EB"/>
          <w:sz w:val="30"/>
          <w:szCs w:val="30"/>
        </w:rPr>
        <w:t xml:space="preserve">1.  </w:t>
      </w:r>
      <w:r>
        <w:rPr>
          <w:b/>
          <w:bCs/>
          <w:color w:val="1E3A5F"/>
          <w:sz w:val="30"/>
          <w:szCs w:val="30"/>
        </w:rPr>
        <w:t xml:space="preserve">Vue Planning (écran principal)</w:t>
      </w:r>
    </w:p>
    <w:p>
      <w:pPr>
        <w:spacing w:after="160" w:line="300"/>
        <w:jc w:val="both"/>
      </w:pPr>
      <w:r>
        <w:rPr>
          <w:color w:val="334155"/>
          <w:sz w:val="22"/>
          <w:szCs w:val="22"/>
        </w:rPr>
        <w:t xml:space="preserve">Grille principale de gestion du planning des salariés.</w:t>
      </w:r>
    </w:p>
    <w:p>
      <w:pPr>
        <w:pStyle w:val="ListParagraph"/>
        <w:numPr>
          <w:ilvl w:val="0"/>
          <w:numId w:val="2"/>
        </w:numPr>
        <w:spacing w:after="100" w:line="290"/>
        <w:jc w:val="both"/>
      </w:pPr>
      <w:r>
        <w:rPr>
          <w:b/>
          <w:bCs/>
          <w:color w:val="334155"/>
          <w:sz w:val="22"/>
          <w:szCs w:val="22"/>
        </w:rPr>
        <w:t xml:space="preserve">Organisation</w:t>
      </w:r>
      <w:r>
        <w:rPr>
          <w:color w:val="334155"/>
          <w:sz w:val="22"/>
          <w:szCs w:val="22"/>
        </w:rPr>
        <w:t xml:space="preserve"> : une ligne par salarié, une colonne par jour. Les salariés sont regroupés par service, puis triés par ordre alphabétique.</w:t>
      </w:r>
    </w:p>
    <w:p>
      <w:pPr>
        <w:pStyle w:val="ListParagraph"/>
        <w:numPr>
          <w:ilvl w:val="0"/>
          <w:numId w:val="2"/>
        </w:numPr>
        <w:spacing w:after="100" w:line="290"/>
        <w:jc w:val="both"/>
      </w:pPr>
      <w:r>
        <w:rPr>
          <w:b/>
          <w:bCs/>
          <w:color w:val="334155"/>
          <w:sz w:val="22"/>
          <w:szCs w:val="22"/>
        </w:rPr>
        <w:t xml:space="preserve">Période affichée</w:t>
      </w:r>
      <w:r>
        <w:rPr>
          <w:color w:val="334155"/>
          <w:sz w:val="22"/>
          <w:szCs w:val="22"/>
        </w:rPr>
        <w:t xml:space="preserve"> : 4 semaines visibles à la fois, avec navigation vers la période précédente/suivante, ou sélection directe d'une date de départ. La dernière période consultée est mémorisée d'une visite à l'autre.</w:t>
      </w:r>
    </w:p>
    <w:p>
      <w:pPr>
        <w:pStyle w:val="ListParagraph"/>
        <w:numPr>
          <w:ilvl w:val="0"/>
          <w:numId w:val="2"/>
        </w:numPr>
        <w:spacing w:after="100" w:line="290"/>
        <w:jc w:val="both"/>
      </w:pPr>
      <w:r>
        <w:rPr>
          <w:b/>
          <w:bCs/>
          <w:color w:val="334155"/>
          <w:sz w:val="22"/>
          <w:szCs w:val="22"/>
        </w:rPr>
        <w:t xml:space="preserve">Repères visuels</w:t>
      </w:r>
      <w:r>
        <w:rPr>
          <w:color w:val="334155"/>
          <w:sz w:val="22"/>
          <w:szCs w:val="22"/>
        </w:rPr>
        <w:t xml:space="preserve"> : les week-ends et jours fériés sont grisés dans les en-têtes de colonnes.</w:t>
      </w:r>
    </w:p>
    <w:p>
      <w:pPr>
        <w:pStyle w:val="ListParagraph"/>
        <w:numPr>
          <w:ilvl w:val="0"/>
          <w:numId w:val="2"/>
        </w:numPr>
        <w:spacing w:after="100" w:line="290"/>
        <w:jc w:val="both"/>
      </w:pPr>
      <w:r>
        <w:rPr>
          <w:b/>
          <w:bCs/>
          <w:color w:val="334155"/>
          <w:sz w:val="22"/>
          <w:szCs w:val="22"/>
        </w:rPr>
        <w:t xml:space="preserve">Filtre d'affichage des salariés</w:t>
      </w:r>
      <w:r>
        <w:rPr>
          <w:color w:val="334155"/>
          <w:sz w:val="22"/>
          <w:szCs w:val="22"/>
        </w:rPr>
        <w:t xml:space="preserve"> : un sélecteur en haut de l'écran permet de n'afficher que certains salariés :</w:t>
      </w:r>
    </w:p>
    <w:p>
      <w:pPr>
        <w:pStyle w:val="ListParagraph"/>
        <w:numPr>
          <w:ilvl w:val="1"/>
          <w:numId w:val="2"/>
        </w:numPr>
        <w:spacing w:after="100" w:line="290"/>
        <w:jc w:val="both"/>
      </w:pPr>
      <w:r>
        <w:rPr>
          <w:i/>
          <w:iCs/>
          <w:color w:val="334155"/>
          <w:sz w:val="22"/>
          <w:szCs w:val="22"/>
        </w:rPr>
        <w:t xml:space="preserve">Tous</w:t>
      </w:r>
    </w:p>
    <w:p>
      <w:pPr>
        <w:pStyle w:val="ListParagraph"/>
        <w:numPr>
          <w:ilvl w:val="1"/>
          <w:numId w:val="2"/>
        </w:numPr>
        <w:spacing w:after="100" w:line="290"/>
        <w:jc w:val="both"/>
      </w:pPr>
      <w:r>
        <w:rPr>
          <w:i/>
          <w:iCs/>
          <w:color w:val="334155"/>
          <w:sz w:val="22"/>
          <w:szCs w:val="22"/>
        </w:rPr>
        <w:t xml:space="preserve">Présents</w:t>
      </w:r>
      <w:r>
        <w:rPr>
          <w:color w:val="334155"/>
          <w:sz w:val="22"/>
          <w:szCs w:val="22"/>
        </w:rPr>
        <w:t xml:space="preserve"> (contrat actif et indiqué comme présent)</w:t>
      </w:r>
    </w:p>
    <w:p>
      <w:pPr>
        <w:pStyle w:val="ListParagraph"/>
        <w:numPr>
          <w:ilvl w:val="1"/>
          <w:numId w:val="2"/>
        </w:numPr>
        <w:spacing w:after="100" w:line="290"/>
        <w:jc w:val="both"/>
      </w:pPr>
      <w:r>
        <w:rPr>
          <w:i/>
          <w:iCs/>
          <w:color w:val="334155"/>
          <w:sz w:val="22"/>
          <w:szCs w:val="22"/>
        </w:rPr>
        <w:t xml:space="preserve">Non présents</w:t>
      </w:r>
      <w:r>
        <w:rPr>
          <w:color w:val="334155"/>
          <w:sz w:val="22"/>
          <w:szCs w:val="22"/>
        </w:rPr>
        <w:t xml:space="preserve"> (contrat actif mais indiqué comme absent)</w:t>
      </w:r>
    </w:p>
    <w:p>
      <w:pPr>
        <w:pStyle w:val="ListParagraph"/>
        <w:numPr>
          <w:ilvl w:val="1"/>
          <w:numId w:val="2"/>
        </w:numPr>
        <w:spacing w:after="100" w:line="290"/>
        <w:jc w:val="both"/>
      </w:pPr>
      <w:r>
        <w:rPr>
          <w:i/>
          <w:iCs/>
          <w:color w:val="334155"/>
          <w:sz w:val="22"/>
          <w:szCs w:val="22"/>
        </w:rPr>
        <w:t xml:space="preserve">Contrat actif</w:t>
      </w:r>
      <w:r>
        <w:rPr>
          <w:color w:val="334155"/>
          <w:sz w:val="22"/>
          <w:szCs w:val="22"/>
        </w:rPr>
        <w:t xml:space="preserve"> / </w:t>
      </w:r>
      <w:r>
        <w:rPr>
          <w:i/>
          <w:iCs/>
          <w:color w:val="334155"/>
          <w:sz w:val="22"/>
          <w:szCs w:val="22"/>
        </w:rPr>
        <w:t xml:space="preserve">Contrat inactif</w:t>
      </w:r>
    </w:p>
    <w:p>
      <w:pPr>
        <w:pStyle w:val="ListParagraph"/>
        <w:numPr>
          <w:ilvl w:val="1"/>
          <w:numId w:val="2"/>
        </w:numPr>
        <w:spacing w:after="100" w:line="290"/>
        <w:jc w:val="both"/>
      </w:pPr>
      <w:r>
        <w:rPr>
          <w:i/>
          <w:iCs/>
          <w:color w:val="334155"/>
          <w:sz w:val="22"/>
          <w:szCs w:val="22"/>
        </w:rPr>
        <w:t xml:space="preserve">Avec planning</w:t>
      </w:r>
      <w:r>
        <w:rPr>
          <w:color w:val="334155"/>
          <w:sz w:val="22"/>
          <w:szCs w:val="22"/>
        </w:rPr>
        <w:t xml:space="preserve"> / </w:t>
      </w:r>
      <w:r>
        <w:rPr>
          <w:i/>
          <w:iCs/>
          <w:color w:val="334155"/>
          <w:sz w:val="22"/>
          <w:szCs w:val="22"/>
        </w:rPr>
        <w:t xml:space="preserve">Sans planning</w:t>
      </w:r>
      <w:r>
        <w:rPr>
          <w:color w:val="334155"/>
          <w:sz w:val="22"/>
          <w:szCs w:val="22"/>
        </w:rPr>
        <w:t xml:space="preserve"> — ces deux derniers filtres sont recalculés automatiquement selon la période affichée : un salarié peut apparaître ou disparaître selon la période consultée.</w:t>
      </w:r>
    </w:p>
    <w:p>
      <w:pPr>
        <w:pStyle w:val="Heading2"/>
        <w:spacing w:after="140" w:before="280"/>
      </w:pPr>
      <w:r>
        <w:rPr>
          <w:b/>
          <w:bCs/>
          <w:color w:val="2563EB"/>
          <w:sz w:val="25"/>
          <w:szCs w:val="25"/>
        </w:rPr>
        <w:t xml:space="preserve">Saisie d'un code horaire</w:t>
      </w:r>
    </w:p>
    <w:p>
      <w:pPr>
        <w:pStyle w:val="ListParagraph"/>
        <w:numPr>
          <w:ilvl w:val="0"/>
          <w:numId w:val="2"/>
        </w:numPr>
        <w:spacing w:after="100" w:line="290"/>
        <w:jc w:val="both"/>
      </w:pPr>
      <w:r>
        <w:rPr>
          <w:color w:val="334155"/>
          <w:sz w:val="22"/>
          <w:szCs w:val="22"/>
        </w:rPr>
        <w:t xml:space="preserve">Un clic sur une case ouvre un sélecteur de code horaire (recherche par code ou par intitulé), avec aperçu de la couleur du code.</w:t>
      </w:r>
    </w:p>
    <w:p>
      <w:pPr>
        <w:pStyle w:val="ListParagraph"/>
        <w:numPr>
          <w:ilvl w:val="0"/>
          <w:numId w:val="2"/>
        </w:numPr>
        <w:spacing w:after="100" w:line="290"/>
        <w:jc w:val="both"/>
      </w:pPr>
      <w:r>
        <w:rPr>
          <w:color w:val="334155"/>
          <w:sz w:val="22"/>
          <w:szCs w:val="22"/>
        </w:rPr>
        <w:t xml:space="preserve">Deux familles de codes horaires peuvent être posées sur une case :</w:t>
      </w:r>
    </w:p>
    <w:p>
      <w:pPr>
        <w:pStyle w:val="ListParagraph"/>
        <w:numPr>
          <w:ilvl w:val="1"/>
          <w:numId w:val="2"/>
        </w:numPr>
        <w:spacing w:after="100" w:line="290"/>
        <w:jc w:val="both"/>
      </w:pPr>
      <w:r>
        <w:rPr>
          <w:b/>
          <w:bCs/>
          <w:color w:val="334155"/>
          <w:sz w:val="22"/>
          <w:szCs w:val="22"/>
        </w:rPr>
        <w:t xml:space="preserve">Code de travail</w:t>
      </w:r>
      <w:r>
        <w:rPr>
          <w:color w:val="334155"/>
          <w:sz w:val="22"/>
          <w:szCs w:val="22"/>
        </w:rPr>
        <w:t xml:space="preserve"> : détermine les heures effectivement travaillées à partir des plages horaires définies pour ce code (ex. 07:00–13:00 / 14:00–19:00).</w:t>
      </w:r>
    </w:p>
    <w:p>
      <w:pPr>
        <w:pStyle w:val="ListParagraph"/>
        <w:numPr>
          <w:ilvl w:val="1"/>
          <w:numId w:val="2"/>
        </w:numPr>
        <w:spacing w:after="100" w:line="290"/>
        <w:jc w:val="both"/>
      </w:pPr>
      <w:r>
        <w:rPr>
          <w:b/>
          <w:bCs/>
          <w:color w:val="334155"/>
          <w:sz w:val="22"/>
          <w:szCs w:val="22"/>
        </w:rPr>
        <w:t xml:space="preserve">Code événementiel</w:t>
      </w:r>
      <w:r>
        <w:rPr>
          <w:color w:val="334155"/>
          <w:sz w:val="22"/>
          <w:szCs w:val="22"/>
        </w:rPr>
        <w:t xml:space="preserve"> : vient qualifier ou modifier un jour. Deux comportements possibles, définis par l'administrateur sur chaque code :</w:t>
      </w:r>
    </w:p>
    <w:p>
      <w:pPr>
        <w:pStyle w:val="ListParagraph"/>
        <w:numPr>
          <w:ilvl w:val="1"/>
          <w:numId w:val="2"/>
        </w:numPr>
        <w:spacing w:after="100" w:line="290"/>
        <w:jc w:val="both"/>
      </w:pPr>
      <w:r>
        <w:rPr>
          <w:b/>
          <w:bCs/>
          <w:color w:val="334155"/>
          <w:sz w:val="22"/>
          <w:szCs w:val="22"/>
        </w:rPr>
        <w:t xml:space="preserve">Superposition</w:t>
      </w:r>
      <w:r>
        <w:rPr>
          <w:color w:val="334155"/>
          <w:sz w:val="22"/>
          <w:szCs w:val="22"/>
        </w:rPr>
        <w:t xml:space="preserve"> (ex. Maladie, Carence maladie, Absence injustifiée) : se superpose au code de travail du jour et </w:t>
      </w:r>
      <w:r>
        <w:rPr>
          <w:b/>
          <w:bCs/>
          <w:color w:val="334155"/>
          <w:sz w:val="22"/>
          <w:szCs w:val="22"/>
        </w:rPr>
        <w:t xml:space="preserve">remplace entièrement</w:t>
      </w:r>
      <w:r>
        <w:rPr>
          <w:color w:val="334155"/>
          <w:sz w:val="22"/>
          <w:szCs w:val="22"/>
        </w:rPr>
        <w:t xml:space="preserve"> le décompte d'heures de la journée (règle définie sur le code : 0 heure, heures du code de travail initial, ou nombre d'heures personnalisé). Le code de travail reste affiché mais barré, et le nombre d'heures résultant est indiqué à côté.</w:t>
      </w:r>
    </w:p>
    <w:p>
      <w:pPr>
        <w:pStyle w:val="ListParagraph"/>
        <w:numPr>
          <w:ilvl w:val="1"/>
          <w:numId w:val="2"/>
        </w:numPr>
        <w:spacing w:after="100" w:line="290"/>
        <w:jc w:val="both"/>
      </w:pPr>
      <w:r>
        <w:rPr>
          <w:b/>
          <w:bCs/>
          <w:color w:val="334155"/>
          <w:sz w:val="22"/>
          <w:szCs w:val="22"/>
        </w:rPr>
        <w:t xml:space="preserve">Complément à la volée</w:t>
      </w:r>
      <w:r>
        <w:rPr>
          <w:color w:val="334155"/>
          <w:sz w:val="22"/>
          <w:szCs w:val="22"/>
        </w:rPr>
        <w:t xml:space="preserve"> (ex. Absence temporaire, Heures supplémentaires) : au moment de poser le code, l'utilisateur saisit une plage horaire libre. La partie de cette plage qui chevauche le code de travail est déduite des heures du jour, la partie en dehors est ajoutée. L'écart (+ ou − nombre d'heures) est affiché explicitement. Pour éviter toute ambiguïté, la plage saisie doit être </w:t>
      </w:r>
      <w:r>
        <w:rPr>
          <w:b/>
          <w:bCs/>
          <w:color w:val="334155"/>
          <w:sz w:val="22"/>
          <w:szCs w:val="22"/>
        </w:rPr>
        <w:t xml:space="preserve">entièrement incluse</w:t>
      </w:r>
      <w:r>
        <w:rPr>
          <w:color w:val="334155"/>
          <w:sz w:val="22"/>
          <w:szCs w:val="22"/>
        </w:rPr>
        <w:t xml:space="preserve"> dans une plage du code de travail, ou </w:t>
      </w:r>
      <w:r>
        <w:rPr>
          <w:b/>
          <w:bCs/>
          <w:color w:val="334155"/>
          <w:sz w:val="22"/>
          <w:szCs w:val="22"/>
        </w:rPr>
        <w:t xml:space="preserve">entièrement en dehors</w:t>
      </w:r>
      <w:r>
        <w:rPr>
          <w:color w:val="334155"/>
          <w:sz w:val="22"/>
          <w:szCs w:val="22"/>
        </w:rPr>
        <w:t xml:space="preserve"> : un chevauchement partiel est refusé.</w:t>
      </w:r>
    </w:p>
    <w:p>
      <w:pPr>
        <w:pStyle w:val="ListParagraph"/>
        <w:numPr>
          <w:ilvl w:val="0"/>
          <w:numId w:val="2"/>
        </w:numPr>
        <w:spacing w:after="100" w:line="290"/>
        <w:jc w:val="both"/>
      </w:pPr>
      <w:r>
        <w:rPr>
          <w:color w:val="334155"/>
          <w:sz w:val="22"/>
          <w:szCs w:val="22"/>
        </w:rPr>
        <w:t xml:space="preserve">Certains codes (ex. Congés, Congé sans solde) s'utilisent seuls et remplacent la case entière plutôt que de se superposer.</w:t>
      </w:r>
    </w:p>
    <w:p>
      <w:pPr>
        <w:pStyle w:val="ListParagraph"/>
        <w:numPr>
          <w:ilvl w:val="0"/>
          <w:numId w:val="2"/>
        </w:numPr>
        <w:spacing w:after="100" w:line="290"/>
        <w:jc w:val="both"/>
      </w:pPr>
      <w:r>
        <w:rPr>
          <w:color w:val="334155"/>
          <w:sz w:val="22"/>
          <w:szCs w:val="22"/>
        </w:rPr>
        <w:t xml:space="preserve">Une case peut être vidée à tout moment ; elle redevient alors disponible pour une nouvelle planification.</w:t>
      </w:r>
    </w:p>
    <w:p>
      <w:pPr>
        <w:pStyle w:val="Heading2"/>
        <w:spacing w:after="140" w:before="280"/>
      </w:pPr>
      <w:r>
        <w:rPr>
          <w:b/>
          <w:bCs/>
          <w:color w:val="2563EB"/>
          <w:sz w:val="25"/>
          <w:szCs w:val="25"/>
        </w:rPr>
        <w:t xml:space="preserve">Roulements (motifs récurrents)</w:t>
      </w:r>
    </w:p>
    <w:p>
      <w:pPr>
        <w:pStyle w:val="ListParagraph"/>
        <w:numPr>
          <w:ilvl w:val="0"/>
          <w:numId w:val="2"/>
        </w:numPr>
        <w:spacing w:after="100" w:line="290"/>
        <w:jc w:val="both"/>
      </w:pPr>
      <w:r>
        <w:rPr>
          <w:color w:val="334155"/>
          <w:sz w:val="22"/>
          <w:szCs w:val="22"/>
        </w:rPr>
        <w:t xml:space="preserve">Un salarié peut se voir assigner un </w:t>
      </w:r>
      <w:r>
        <w:rPr>
          <w:b/>
          <w:bCs/>
          <w:color w:val="334155"/>
          <w:sz w:val="22"/>
          <w:szCs w:val="22"/>
        </w:rPr>
        <w:t xml:space="preserve">roulement</w:t>
      </w:r>
      <w:r>
        <w:rPr>
          <w:color w:val="334155"/>
          <w:sz w:val="22"/>
          <w:szCs w:val="22"/>
        </w:rPr>
        <w:t xml:space="preserve"> : un motif d'horaires se répétant sur une ou plusieurs semaines complètes.</w:t>
      </w:r>
    </w:p>
    <w:p>
      <w:pPr>
        <w:pStyle w:val="ListParagraph"/>
        <w:numPr>
          <w:ilvl w:val="0"/>
          <w:numId w:val="2"/>
        </w:numPr>
        <w:spacing w:after="100" w:line="290"/>
        <w:jc w:val="both"/>
      </w:pPr>
      <w:r>
        <w:rPr>
          <w:color w:val="334155"/>
          <w:sz w:val="22"/>
          <w:szCs w:val="22"/>
        </w:rPr>
        <w:t xml:space="preserve">Sur une case jamais planifiée, si le salarié a un roulement en cours, un raccourci permet de l'appliquer directement, sur les semaines du motif à partir de la semaine cliquée.</w:t>
      </w:r>
    </w:p>
    <w:p>
      <w:pPr>
        <w:pStyle w:val="ListParagraph"/>
        <w:numPr>
          <w:ilvl w:val="0"/>
          <w:numId w:val="2"/>
        </w:numPr>
        <w:spacing w:after="100" w:line="290"/>
        <w:jc w:val="both"/>
      </w:pPr>
      <w:r>
        <w:rPr>
          <w:color w:val="334155"/>
          <w:sz w:val="22"/>
          <w:szCs w:val="22"/>
        </w:rPr>
        <w:t xml:space="preserve">Si le roulement porte sur plusieurs semaines, un second clic sur le raccourci (plutôt qu'une application immédiate) révèle un sélecteur pour choisir la semaine du motif à partir de laquelle démarrer (ex. un roulement sur 4 semaines : démarrer à la semaine 3 n'applique que les semaines 3 et 4 du motif, sur les 2 semaines calendaires suivant la case cliquée) — utile pour reprendre un roulement en cours de cycle, sans repartir systématiquement de sa première semaine. Ce sélecteur ne prend de la place à l'écran qu'après ce second clic, plutôt que d'être affiché d'emblée (retours client du 22/09).</w:t>
      </w:r>
    </w:p>
    <w:p>
      <w:pPr>
        <w:pStyle w:val="ListParagraph"/>
        <w:numPr>
          <w:ilvl w:val="0"/>
          <w:numId w:val="2"/>
        </w:numPr>
        <w:spacing w:after="100" w:line="290"/>
        <w:jc w:val="both"/>
      </w:pPr>
      <w:r>
        <w:rPr>
          <w:color w:val="334155"/>
          <w:sz w:val="22"/>
          <w:szCs w:val="22"/>
        </w:rPr>
        <w:t xml:space="preserve">Il est également possible de sélectionner plusieurs salariés à la fois (sur un même jour) pour appliquer en une seule action le roulement en cours de chacun ; un récapitulatif indique qui sera planifié, qui est déjà planifié (donc ignoré) et qui n'a pas de roulement assigné. Dans ce cas, le sélecteur de semaine de départ n'est volontairement pas proposé (toujours la semaine 1 du motif de chacun) : les salariés sélectionnés peuvent avoir des roulements de longueurs différentes, un même choix de semaine de départ serait ambigu d'un salarié à l'autre.</w:t>
      </w:r>
    </w:p>
    <w:p>
      <w:pPr>
        <w:pStyle w:val="ListParagraph"/>
        <w:numPr>
          <w:ilvl w:val="0"/>
          <w:numId w:val="2"/>
        </w:numPr>
        <w:spacing w:after="100" w:line="290"/>
        <w:jc w:val="both"/>
      </w:pPr>
      <w:r>
        <w:rPr>
          <w:color w:val="334155"/>
          <w:sz w:val="22"/>
          <w:szCs w:val="22"/>
        </w:rPr>
        <w:t xml:space="preserve">Un roulement ne vient jamais écraser une case déjà remplie : si au moins une semaine de la période concernée contient déjà un code, l'application du roulement est bloquée pour ce salarié et la semaine en cause est signalée, plutôt que d'appliquer partiellement le roulement.</w:t>
      </w:r>
    </w:p>
    <w:p>
      <w:pPr>
        <w:pStyle w:val="Heading2"/>
        <w:spacing w:after="140" w:before="280"/>
      </w:pPr>
      <w:r>
        <w:rPr>
          <w:b/>
          <w:bCs/>
          <w:color w:val="2563EB"/>
          <w:sz w:val="25"/>
          <w:szCs w:val="25"/>
        </w:rPr>
        <w:t xml:space="preserve">Effacement de plages</w:t>
      </w:r>
    </w:p>
    <w:p>
      <w:pPr>
        <w:pStyle w:val="ListParagraph"/>
        <w:numPr>
          <w:ilvl w:val="0"/>
          <w:numId w:val="2"/>
        </w:numPr>
        <w:spacing w:after="100" w:line="290"/>
        <w:jc w:val="both"/>
      </w:pPr>
      <w:r>
        <w:rPr>
          <w:color w:val="334155"/>
          <w:sz w:val="22"/>
          <w:szCs w:val="22"/>
        </w:rPr>
        <w:t xml:space="preserve">Il est possible de sélectionner un ensemble de cases déjà remplies (une ou plusieurs lignes, un ou plusieurs jours) et de les effacer en une seule action, après confirmation. Les cases effacées redeviennent disponibles pour une nouvelle planification.</w:t>
      </w:r>
    </w:p>
    <w:p>
      <w:pPr>
        <w:pStyle w:val="Heading2"/>
        <w:spacing w:after="140" w:before="280"/>
      </w:pPr>
      <w:r>
        <w:rPr>
          <w:b/>
          <w:bCs/>
          <w:color w:val="2563EB"/>
          <w:sz w:val="25"/>
          <w:szCs w:val="25"/>
        </w:rPr>
        <w:t xml:space="preserve">Accès à la fiche d'un salarié</w:t>
      </w:r>
    </w:p>
    <w:p>
      <w:pPr>
        <w:pStyle w:val="ListParagraph"/>
        <w:numPr>
          <w:ilvl w:val="0"/>
          <w:numId w:val="2"/>
        </w:numPr>
        <w:spacing w:after="100" w:line="290"/>
        <w:jc w:val="both"/>
      </w:pPr>
      <w:r>
        <w:rPr>
          <w:color w:val="334155"/>
          <w:sz w:val="22"/>
          <w:szCs w:val="22"/>
        </w:rPr>
        <w:t xml:space="preserve">Cliquer sur le nom d'un salarié ouvre sa vue « Émargement » pour le mois actuellement affiché.</w:t>
      </w:r>
    </w:p>
    <w:p>
      <w:pPr>
        <w:pBdr>
          <w:bottom w:val="single" w:color="CBD5E1" w:sz="6" w:space="1"/>
        </w:pBdr>
        <w:spacing w:after="300" w:before="120"/>
      </w:pPr>
    </w:p>
    <w:p>
      <w:pPr>
        <w:pStyle w:val="Heading1"/>
        <w:pBdr>
          <w:bottom w:val="single" w:color="2563EB" w:sz="8" w:space="6"/>
        </w:pBdr>
        <w:spacing w:after="200" w:before="420"/>
      </w:pPr>
      <w:r>
        <w:rPr>
          <w:b/>
          <w:bCs/>
          <w:color w:val="2563EB"/>
          <w:sz w:val="30"/>
          <w:szCs w:val="30"/>
        </w:rPr>
        <w:t xml:space="preserve">2.  </w:t>
      </w:r>
      <w:r>
        <w:rPr>
          <w:b/>
          <w:bCs/>
          <w:color w:val="1E3A5F"/>
          <w:sz w:val="30"/>
          <w:szCs w:val="30"/>
        </w:rPr>
        <w:t xml:space="preserve">Émargement — vue mensuelle</w:t>
      </w:r>
    </w:p>
    <w:p>
      <w:pPr>
        <w:spacing w:after="160" w:line="300"/>
        <w:jc w:val="both"/>
      </w:pPr>
      <w:r>
        <w:rPr>
          <w:color w:val="334155"/>
          <w:sz w:val="22"/>
          <w:szCs w:val="22"/>
        </w:rPr>
        <w:t xml:space="preserve">Vue calendaire mensuelle du planning d'un salarié, destinée à sa validation.</w:t>
      </w:r>
    </w:p>
    <w:p>
      <w:pPr>
        <w:pStyle w:val="ListParagraph"/>
        <w:numPr>
          <w:ilvl w:val="0"/>
          <w:numId w:val="2"/>
        </w:numPr>
        <w:spacing w:after="100" w:line="290"/>
        <w:jc w:val="both"/>
      </w:pPr>
      <w:r>
        <w:rPr>
          <w:color w:val="334155"/>
          <w:sz w:val="22"/>
          <w:szCs w:val="22"/>
        </w:rPr>
        <w:t xml:space="preserve">Présentation en calendrier classique (semaines en ligne, jours en colonne).</w:t>
      </w:r>
    </w:p>
    <w:p>
      <w:pPr>
        <w:pStyle w:val="ListParagraph"/>
        <w:numPr>
          <w:ilvl w:val="0"/>
          <w:numId w:val="2"/>
        </w:numPr>
        <w:spacing w:after="100" w:line="290"/>
        <w:jc w:val="both"/>
      </w:pPr>
      <w:r>
        <w:rPr>
          <w:color w:val="334155"/>
          <w:sz w:val="22"/>
          <w:szCs w:val="22"/>
        </w:rPr>
        <w:t xml:space="preserve">Pour chaque jour : le code de travail (avec son intitulé et ses plages horaires) est affiché au-dessus du code événementiel du jour, chacun dans sa propre couleur.</w:t>
      </w:r>
    </w:p>
    <w:p>
      <w:pPr>
        <w:pStyle w:val="ListParagraph"/>
        <w:numPr>
          <w:ilvl w:val="1"/>
          <w:numId w:val="2"/>
        </w:numPr>
        <w:spacing w:after="100" w:line="290"/>
        <w:jc w:val="both"/>
      </w:pPr>
      <w:r>
        <w:rPr>
          <w:color w:val="334155"/>
          <w:sz w:val="22"/>
          <w:szCs w:val="22"/>
        </w:rPr>
        <w:t xml:space="preserve">Si le jour porte un code événementiel de type superposition, le décompte d'heures initial du code de travail est barré et le nombre d'heures réellement retenu (selon la règle du code événementiel) apparaît à côté.</w:t>
      </w:r>
    </w:p>
    <w:p>
      <w:pPr>
        <w:pStyle w:val="ListParagraph"/>
        <w:numPr>
          <w:ilvl w:val="1"/>
          <w:numId w:val="2"/>
        </w:numPr>
        <w:spacing w:after="100" w:line="290"/>
        <w:jc w:val="both"/>
      </w:pPr>
      <w:r>
        <w:rPr>
          <w:color w:val="334155"/>
          <w:sz w:val="22"/>
          <w:szCs w:val="22"/>
        </w:rPr>
        <w:t xml:space="preserve">Si le jour porte un code événementiel de type complément à la volée, la plage horaire saisie et l'écart (+/− heures) sont affichés directement sur ce code.</w:t>
      </w:r>
    </w:p>
    <w:p>
      <w:pPr>
        <w:pStyle w:val="ListParagraph"/>
        <w:numPr>
          <w:ilvl w:val="0"/>
          <w:numId w:val="2"/>
        </w:numPr>
        <w:spacing w:after="100" w:line="290"/>
        <w:jc w:val="both"/>
      </w:pPr>
      <w:r>
        <w:rPr>
          <w:color w:val="334155"/>
          <w:sz w:val="22"/>
          <w:szCs w:val="22"/>
        </w:rPr>
        <w:t xml:space="preserve">Un total d'heures est affiché pour chaque semaine (aligné à droite de la ligne) et pour le mois entier (en bas de la vue).</w:t>
      </w:r>
    </w:p>
    <w:p>
      <w:pPr>
        <w:pStyle w:val="ListParagraph"/>
        <w:numPr>
          <w:ilvl w:val="0"/>
          <w:numId w:val="2"/>
        </w:numPr>
        <w:spacing w:after="100" w:line="290"/>
        <w:jc w:val="both"/>
      </w:pPr>
      <w:r>
        <w:rPr>
          <w:color w:val="334155"/>
          <w:sz w:val="22"/>
          <w:szCs w:val="22"/>
        </w:rPr>
        <w:t xml:space="preserve">Un bouton permet de </w:t>
      </w:r>
      <w:r>
        <w:rPr>
          <w:b/>
          <w:bCs/>
          <w:color w:val="334155"/>
          <w:sz w:val="22"/>
          <w:szCs w:val="22"/>
        </w:rPr>
        <w:t xml:space="preserve">valider le mois</w:t>
      </w:r>
      <w:r>
        <w:rPr>
          <w:color w:val="334155"/>
          <w:sz w:val="22"/>
          <w:szCs w:val="22"/>
        </w:rPr>
        <w:t xml:space="preserve">, ce qui indique que le salarié confirme que le planning correspond aux heures réellement effectuées ; une fois validé, le mois est marqué comme non modifiable.</w:t>
      </w:r>
    </w:p>
    <w:p>
      <w:pPr>
        <w:pStyle w:val="ListParagraph"/>
        <w:numPr>
          <w:ilvl w:val="0"/>
          <w:numId w:val="2"/>
        </w:numPr>
        <w:spacing w:after="100" w:line="290"/>
        <w:jc w:val="both"/>
      </w:pPr>
      <w:r>
        <w:rPr>
          <w:color w:val="334155"/>
          <w:sz w:val="22"/>
          <w:szCs w:val="22"/>
        </w:rPr>
        <w:t xml:space="preserve">Des emplacements de signature (salarié et responsable) sont prévus pour un usage papier, avec un bouton d'impression qui adapte l'affichage au format imprimé.</w:t>
      </w:r>
    </w:p>
    <w:p>
      <w:pPr>
        <w:pStyle w:val="Heading1"/>
        <w:pBdr>
          <w:bottom w:val="single" w:color="2563EB" w:sz="8" w:space="6"/>
        </w:pBdr>
        <w:spacing w:after="200" w:before="420"/>
      </w:pPr>
      <w:r>
        <w:rPr>
          <w:b/>
          <w:bCs/>
          <w:color w:val="2563EB"/>
          <w:sz w:val="30"/>
          <w:szCs w:val="30"/>
        </w:rPr>
        <w:t xml:space="preserve">3.  </w:t>
      </w:r>
      <w:r>
        <w:rPr>
          <w:b/>
          <w:bCs/>
          <w:color w:val="1E3A5F"/>
          <w:sz w:val="30"/>
          <w:szCs w:val="30"/>
        </w:rPr>
        <w:t xml:space="preserve">Émargement — vue annuelle</w:t>
      </w:r>
    </w:p>
    <w:p>
      <w:pPr>
        <w:spacing w:after="160" w:line="300"/>
        <w:jc w:val="both"/>
      </w:pPr>
      <w:r>
        <w:rPr>
          <w:color w:val="334155"/>
          <w:sz w:val="22"/>
          <w:szCs w:val="22"/>
        </w:rPr>
        <w:t xml:space="preserve">Vue de repérage rapide des évènements particuliers sur une année complète pour un salarié, accessible depuis un sélecteur « Mensuel / Annuel » en haut de la vue Émargement (même salarié, mêmes couleurs, même bouton d'impression).</w:t>
      </w:r>
    </w:p>
    <w:p>
      <w:pPr>
        <w:pStyle w:val="ListParagraph"/>
        <w:numPr>
          <w:ilvl w:val="0"/>
          <w:numId w:val="2"/>
        </w:numPr>
        <w:spacing w:after="100" w:line="290"/>
        <w:jc w:val="both"/>
      </w:pPr>
      <w:r>
        <w:rPr>
          <w:color w:val="334155"/>
          <w:sz w:val="22"/>
          <w:szCs w:val="22"/>
        </w:rPr>
        <w:t xml:space="preserve">Grille à 12 colonnes (une par mois) et jusqu'à 31 lignes (un jour du mois par ligne), permettant de visualiser l'année entière sur un seul écran.</w:t>
      </w:r>
    </w:p>
    <w:p>
      <w:pPr>
        <w:pStyle w:val="ListParagraph"/>
        <w:numPr>
          <w:ilvl w:val="0"/>
          <w:numId w:val="2"/>
        </w:numPr>
        <w:spacing w:after="100" w:line="290"/>
        <w:jc w:val="both"/>
      </w:pPr>
      <w:r>
        <w:rPr>
          <w:color w:val="334155"/>
          <w:sz w:val="22"/>
          <w:szCs w:val="22"/>
        </w:rPr>
        <w:t xml:space="preserve">Chaque jour n'affiche qu'une couleur et un code court, sans détail d'horaire ; le survol d'une case affiche la date et l'intitulé complet.</w:t>
      </w:r>
    </w:p>
    <w:p>
      <w:pPr>
        <w:pStyle w:val="ListParagraph"/>
        <w:numPr>
          <w:ilvl w:val="0"/>
          <w:numId w:val="2"/>
        </w:numPr>
        <w:spacing w:after="100" w:line="290"/>
        <w:jc w:val="both"/>
      </w:pPr>
      <w:r>
        <w:rPr>
          <w:color w:val="334155"/>
          <w:sz w:val="22"/>
          <w:szCs w:val="22"/>
        </w:rPr>
        <w:t xml:space="preserve">Seuls les codes horaires explicitement configurés pour apparaître dans cette vue (typiquement les absences) colorent leur jour ; les autres jours restent neutres. Si un jour porte à la fois un code de travail et un code événementiel tous deux configurés pour cette vue, le code événementiel est prioritaire.</w:t>
      </w:r>
    </w:p>
    <w:p>
      <w:pPr>
        <w:pStyle w:val="ListParagraph"/>
        <w:numPr>
          <w:ilvl w:val="0"/>
          <w:numId w:val="2"/>
        </w:numPr>
        <w:spacing w:after="100" w:line="290"/>
        <w:jc w:val="both"/>
      </w:pPr>
      <w:r>
        <w:rPr>
          <w:color w:val="334155"/>
          <w:sz w:val="22"/>
          <w:szCs w:val="22"/>
        </w:rPr>
        <w:t xml:space="preserve">Une légende sous la grille rappelle la correspondance entre chaque couleur et son intitulé.</w:t>
      </w:r>
    </w:p>
    <w:p>
      <w:pPr>
        <w:pStyle w:val="ListParagraph"/>
        <w:numPr>
          <w:ilvl w:val="0"/>
          <w:numId w:val="2"/>
        </w:numPr>
        <w:spacing w:after="100" w:line="290"/>
        <w:jc w:val="both"/>
      </w:pPr>
      <w:r>
        <w:rPr>
          <w:color w:val="334155"/>
          <w:sz w:val="22"/>
          <w:szCs w:val="22"/>
        </w:rPr>
        <w:t xml:space="preserve">Cette vue est purement informative : elle ne comporte pas de validation ni de signature, contrairement à la vue mensuelle.</w:t>
      </w:r>
    </w:p>
    <w:p>
      <w:pPr>
        <w:pStyle w:val="ListParagraph"/>
        <w:numPr>
          <w:ilvl w:val="0"/>
          <w:numId w:val="2"/>
        </w:numPr>
        <w:spacing w:after="100" w:line="290"/>
        <w:jc w:val="both"/>
      </w:pPr>
      <w:r>
        <w:rPr>
          <w:color w:val="334155"/>
          <w:sz w:val="22"/>
          <w:szCs w:val="22"/>
        </w:rPr>
        <w:t xml:space="preserve">Navigation d'une année à l'autre (précédente/suivante).</w:t>
      </w:r>
    </w:p>
    <w:p>
      <w:pPr>
        <w:pBdr>
          <w:bottom w:val="single" w:color="CBD5E1" w:sz="6" w:space="1"/>
        </w:pBdr>
        <w:spacing w:after="300" w:before="120"/>
      </w:pPr>
    </w:p>
    <w:p>
      <w:pPr>
        <w:pStyle w:val="Heading1"/>
        <w:pBdr>
          <w:bottom w:val="single" w:color="2563EB" w:sz="8" w:space="6"/>
        </w:pBdr>
        <w:spacing w:after="200" w:before="420"/>
      </w:pPr>
      <w:r>
        <w:rPr>
          <w:b/>
          <w:bCs/>
          <w:color w:val="2563EB"/>
          <w:sz w:val="30"/>
          <w:szCs w:val="30"/>
        </w:rPr>
        <w:t xml:space="preserve">4.  </w:t>
      </w:r>
      <w:r>
        <w:rPr>
          <w:b/>
          <w:bCs/>
          <w:color w:val="1E3A5F"/>
          <w:sz w:val="30"/>
          <w:szCs w:val="30"/>
        </w:rPr>
        <w:t xml:space="preserve">Administration</w:t>
      </w:r>
    </w:p>
    <w:p>
      <w:pPr>
        <w:spacing w:after="160" w:line="300"/>
        <w:jc w:val="both"/>
      </w:pPr>
      <w:r>
        <w:rPr>
          <w:color w:val="334155"/>
          <w:sz w:val="22"/>
          <w:szCs w:val="22"/>
        </w:rPr>
        <w:t xml:space="preserve">Écrans réservés au profil Administrateur, regroupés dans un menu dédié.</w:t>
      </w:r>
    </w:p>
    <w:p>
      <w:pPr>
        <w:pStyle w:val="Heading2"/>
        <w:spacing w:after="140" w:before="280"/>
      </w:pPr>
      <w:r>
        <w:rPr>
          <w:b/>
          <w:bCs/>
          <w:color w:val="2563EB"/>
          <w:sz w:val="25"/>
          <w:szCs w:val="25"/>
        </w:rPr>
        <w:t xml:space="preserve">Codes horaires</w:t>
      </w:r>
    </w:p>
    <w:p>
      <w:pPr>
        <w:pStyle w:val="ListParagraph"/>
        <w:numPr>
          <w:ilvl w:val="0"/>
          <w:numId w:val="2"/>
        </w:numPr>
        <w:spacing w:after="100" w:line="290"/>
        <w:jc w:val="both"/>
      </w:pPr>
      <w:r>
        <w:rPr>
          <w:color w:val="334155"/>
          <w:sz w:val="22"/>
          <w:szCs w:val="22"/>
        </w:rPr>
        <w:t xml:space="preserve">Liste des codes horaires existants, avec création, modification et suppression.</w:t>
      </w:r>
    </w:p>
    <w:p>
      <w:pPr>
        <w:pStyle w:val="ListParagraph"/>
        <w:numPr>
          <w:ilvl w:val="0"/>
          <w:numId w:val="2"/>
        </w:numPr>
        <w:spacing w:after="100" w:line="290"/>
        <w:jc w:val="both"/>
      </w:pPr>
      <w:r>
        <w:rPr>
          <w:color w:val="334155"/>
          <w:sz w:val="22"/>
          <w:szCs w:val="22"/>
        </w:rPr>
        <w:t xml:space="preserve">Pour chaque code : un code court, un intitulé, une couleur de fond et de texte, une catégorie (Travail, Informatif, Particulier, Événementiel).</w:t>
      </w:r>
    </w:p>
    <w:p>
      <w:pPr>
        <w:pStyle w:val="ListParagraph"/>
        <w:numPr>
          <w:ilvl w:val="0"/>
          <w:numId w:val="2"/>
        </w:numPr>
        <w:spacing w:after="100" w:line="290"/>
        <w:jc w:val="both"/>
      </w:pPr>
      <w:r>
        <w:rPr>
          <w:color w:val="334155"/>
          <w:sz w:val="22"/>
          <w:szCs w:val="22"/>
        </w:rPr>
        <w:t xml:space="preserve">Pour un code de catégorie Travail : jusqu'à 4 plages horaires, avec calcul automatique du total d'heures.</w:t>
      </w:r>
    </w:p>
    <w:p>
      <w:pPr>
        <w:pStyle w:val="ListParagraph"/>
        <w:numPr>
          <w:ilvl w:val="0"/>
          <w:numId w:val="2"/>
        </w:numPr>
        <w:spacing w:after="100" w:line="290"/>
        <w:jc w:val="both"/>
      </w:pPr>
      <w:r>
        <w:rPr>
          <w:color w:val="334155"/>
          <w:sz w:val="22"/>
          <w:szCs w:val="22"/>
        </w:rPr>
        <w:t xml:space="preserve">Pour un code de catégorie Événementiel : choix du comportement (superposition ou complément à la volée) et, pour la superposition, choix de la règle de décompte d'heures (0 heure / heures du code initial / nombre d'heures personnalisé).</w:t>
      </w:r>
    </w:p>
    <w:p>
      <w:pPr>
        <w:pStyle w:val="ListParagraph"/>
        <w:numPr>
          <w:ilvl w:val="0"/>
          <w:numId w:val="2"/>
        </w:numPr>
        <w:spacing w:after="100" w:line="290"/>
        <w:jc w:val="both"/>
      </w:pPr>
      <w:r>
        <w:rPr>
          <w:color w:val="334155"/>
          <w:sz w:val="22"/>
          <w:szCs w:val="22"/>
        </w:rPr>
        <w:t xml:space="preserve">Une case à cocher détermine si le code doit apparaître dans la vue annuelle d'un salarié.</w:t>
      </w:r>
    </w:p>
    <w:p>
      <w:pPr>
        <w:pStyle w:val="ListParagraph"/>
        <w:numPr>
          <w:ilvl w:val="0"/>
          <w:numId w:val="2"/>
        </w:numPr>
        <w:spacing w:after="100" w:line="290"/>
        <w:jc w:val="both"/>
      </w:pPr>
      <w:r>
        <w:rPr>
          <w:color w:val="334155"/>
          <w:sz w:val="22"/>
          <w:szCs w:val="22"/>
        </w:rPr>
        <w:t xml:space="preserve">Un champ commentaire libre est disponible sur chaque code.</w:t>
      </w:r>
    </w:p>
    <w:p>
      <w:pPr>
        <w:pStyle w:val="Heading2"/>
        <w:spacing w:after="140" w:before="280"/>
      </w:pPr>
      <w:r>
        <w:rPr>
          <w:b/>
          <w:bCs/>
          <w:color w:val="2563EB"/>
          <w:sz w:val="25"/>
          <w:szCs w:val="25"/>
        </w:rPr>
        <w:t xml:space="preserve">Roulements</w:t>
      </w:r>
    </w:p>
    <w:p>
      <w:pPr>
        <w:pStyle w:val="ListParagraph"/>
        <w:numPr>
          <w:ilvl w:val="0"/>
          <w:numId w:val="2"/>
        </w:numPr>
        <w:spacing w:after="100" w:line="290"/>
        <w:jc w:val="both"/>
      </w:pPr>
      <w:r>
        <w:rPr>
          <w:color w:val="334155"/>
          <w:sz w:val="22"/>
          <w:szCs w:val="22"/>
        </w:rPr>
        <w:t xml:space="preserve">Liste des roulements existants, avec création et modification.</w:t>
      </w:r>
    </w:p>
    <w:p>
      <w:pPr>
        <w:pStyle w:val="ListParagraph"/>
        <w:numPr>
          <w:ilvl w:val="0"/>
          <w:numId w:val="2"/>
        </w:numPr>
        <w:spacing w:after="100" w:line="290"/>
        <w:jc w:val="both"/>
      </w:pPr>
      <w:r>
        <w:rPr>
          <w:color w:val="334155"/>
          <w:sz w:val="22"/>
          <w:szCs w:val="22"/>
        </w:rPr>
        <w:t xml:space="preserve">Un roulement est défini par un nom et un nombre de semaines ; pour chaque semaine, la répartition des codes horaires est saisie jour par jour (du lundi au dimanche) à l'aide du même sélecteur de code que la vue Planning.</w:t>
      </w:r>
    </w:p>
    <w:p>
      <w:pPr>
        <w:pStyle w:val="Heading2"/>
        <w:spacing w:after="140" w:before="280"/>
      </w:pPr>
      <w:r>
        <w:rPr>
          <w:b/>
          <w:bCs/>
          <w:color w:val="2563EB"/>
          <w:sz w:val="25"/>
          <w:szCs w:val="25"/>
        </w:rPr>
        <w:t xml:space="preserve">Salariés</w:t>
      </w:r>
    </w:p>
    <w:p>
      <w:pPr>
        <w:pStyle w:val="ListParagraph"/>
        <w:numPr>
          <w:ilvl w:val="0"/>
          <w:numId w:val="2"/>
        </w:numPr>
        <w:spacing w:after="100" w:line="290"/>
        <w:jc w:val="both"/>
      </w:pPr>
      <w:r>
        <w:rPr>
          <w:color w:val="334155"/>
          <w:sz w:val="22"/>
          <w:szCs w:val="22"/>
        </w:rPr>
        <w:t xml:space="preserve">Liste des salariés, avec création et modification de leur fiche.</w:t>
      </w:r>
    </w:p>
    <w:p>
      <w:pPr>
        <w:pStyle w:val="ListParagraph"/>
        <w:numPr>
          <w:ilvl w:val="0"/>
          <w:numId w:val="2"/>
        </w:numPr>
        <w:spacing w:after="100" w:line="290"/>
        <w:jc w:val="both"/>
      </w:pPr>
      <w:r>
        <w:rPr>
          <w:color w:val="334155"/>
          <w:sz w:val="22"/>
          <w:szCs w:val="22"/>
        </w:rPr>
        <w:t xml:space="preserve">Une fiche salarié comporte : matricule, nom, prénom, service, type de contrat (CDD/CDI) et son caractère actif ou non, responsable hiérarchique optionnel, statut de présence, et éventuellement un compte utilisateur associé.</w:t>
      </w:r>
    </w:p>
    <w:p>
      <w:pPr>
        <w:pStyle w:val="ListParagraph"/>
        <w:numPr>
          <w:ilvl w:val="0"/>
          <w:numId w:val="2"/>
        </w:numPr>
        <w:spacing w:after="100" w:line="290"/>
        <w:jc w:val="both"/>
      </w:pPr>
      <w:r>
        <w:rPr>
          <w:color w:val="334155"/>
          <w:sz w:val="22"/>
          <w:szCs w:val="22"/>
        </w:rPr>
        <w:t xml:space="preserve">Le roulement en cours du salarié est affiché de façon compacte sur sa fiche, avec accès à un panneau dédié permettant de consulter l'historique des roulements assignés et d'en assigner un nouveau (avec une date de début et, éventuellement, une date de fin).</w:t>
      </w:r>
    </w:p>
    <w:p>
      <w:pPr>
        <w:pStyle w:val="Heading2"/>
        <w:spacing w:after="140" w:before="280"/>
      </w:pPr>
      <w:r>
        <w:rPr>
          <w:b/>
          <w:bCs/>
          <w:color w:val="2563EB"/>
          <w:sz w:val="25"/>
          <w:szCs w:val="25"/>
        </w:rPr>
        <w:t xml:space="preserve">Utilisateurs</w:t>
      </w:r>
    </w:p>
    <w:p>
      <w:pPr>
        <w:pStyle w:val="ListParagraph"/>
        <w:numPr>
          <w:ilvl w:val="0"/>
          <w:numId w:val="2"/>
        </w:numPr>
        <w:spacing w:after="100" w:line="290"/>
        <w:jc w:val="both"/>
      </w:pPr>
      <w:r>
        <w:rPr>
          <w:color w:val="334155"/>
          <w:sz w:val="22"/>
          <w:szCs w:val="22"/>
        </w:rPr>
        <w:t xml:space="preserve">Liste des utilisateurs de l'application, avec création et modification.</w:t>
      </w:r>
    </w:p>
    <w:p>
      <w:pPr>
        <w:pStyle w:val="ListParagraph"/>
        <w:numPr>
          <w:ilvl w:val="0"/>
          <w:numId w:val="2"/>
        </w:numPr>
        <w:spacing w:after="100" w:line="290"/>
        <w:jc w:val="both"/>
      </w:pPr>
      <w:r>
        <w:rPr>
          <w:color w:val="334155"/>
          <w:sz w:val="22"/>
          <w:szCs w:val="22"/>
        </w:rPr>
        <w:t xml:space="preserve">Une fiche utilisateur comporte : identifiant, nom, prénom, email, type d'utilisateur (Administrateur / Utilisateur), service, poste.</w:t>
      </w:r>
    </w:p>
    <w:p>
      <w:pPr>
        <w:pStyle w:val="Heading2"/>
        <w:spacing w:after="140" w:before="280"/>
      </w:pPr>
      <w:r>
        <w:rPr>
          <w:b/>
          <w:bCs/>
          <w:color w:val="2563EB"/>
          <w:sz w:val="25"/>
          <w:szCs w:val="25"/>
        </w:rPr>
        <w:t xml:space="preserve">Années et jours fériés</w:t>
      </w:r>
    </w:p>
    <w:p>
      <w:pPr>
        <w:pStyle w:val="ListParagraph"/>
        <w:numPr>
          <w:ilvl w:val="0"/>
          <w:numId w:val="2"/>
        </w:numPr>
        <w:spacing w:after="100" w:line="290"/>
        <w:jc w:val="both"/>
      </w:pPr>
      <w:r>
        <w:rPr>
          <w:color w:val="334155"/>
          <w:sz w:val="22"/>
          <w:szCs w:val="22"/>
        </w:rPr>
        <w:t xml:space="preserve">Création d'une nouvelle année planifiée : jours fériés fixes et jours fériés calculés (ex. lundi de Pâques), jours fériés personnalisés additionnels, gestion automatique des années bissextiles.</w:t>
      </w:r>
    </w:p>
    <w:p>
      <w:pPr>
        <w:pStyle w:val="ListParagraph"/>
        <w:numPr>
          <w:ilvl w:val="0"/>
          <w:numId w:val="2"/>
        </w:numPr>
        <w:spacing w:after="100" w:line="290"/>
        <w:jc w:val="both"/>
      </w:pPr>
      <w:r>
        <w:rPr>
          <w:color w:val="334155"/>
          <w:sz w:val="22"/>
          <w:szCs w:val="22"/>
        </w:rPr>
        <w:t xml:space="preserve">Une année déjà planifiée ne peut pas être supprimée.</w:t>
      </w:r>
    </w:p>
    <w:p>
      <w:pPr>
        <w:pStyle w:val="Heading2"/>
        <w:spacing w:after="140" w:before="280"/>
      </w:pPr>
      <w:r>
        <w:rPr>
          <w:b/>
          <w:bCs/>
          <w:color w:val="2563EB"/>
          <w:sz w:val="25"/>
          <w:szCs w:val="25"/>
        </w:rPr>
        <w:t xml:space="preserve">Identité de l'établissement</w:t>
      </w:r>
    </w:p>
    <w:p>
      <w:pPr>
        <w:pStyle w:val="ListParagraph"/>
        <w:numPr>
          <w:ilvl w:val="0"/>
          <w:numId w:val="2"/>
        </w:numPr>
        <w:spacing w:after="100" w:line="290"/>
        <w:jc w:val="both"/>
      </w:pPr>
      <w:r>
        <w:rPr>
          <w:color w:val="334155"/>
          <w:sz w:val="22"/>
          <w:szCs w:val="22"/>
        </w:rPr>
        <w:t xml:space="preserve">Configuration du nom affiché et du logo de l'établissement, visibles dans l'ensemble de l'application.</w:t>
      </w:r>
    </w:p>
    <w:p>
      <w:pPr>
        <w:pStyle w:val="ListParagraph"/>
        <w:numPr>
          <w:ilvl w:val="0"/>
          <w:numId w:val="2"/>
        </w:numPr>
        <w:spacing w:after="100" w:line="290"/>
        <w:jc w:val="both"/>
      </w:pPr>
      <w:r>
        <w:rPr>
          <w:color w:val="334155"/>
          <w:sz w:val="22"/>
          <w:szCs w:val="22"/>
        </w:rPr>
        <w:t xml:space="preserve">Première étape vers la prise en charge de plusieurs établissements indépendants au sein d'une même application (chacun avec ses propres utilisateurs et données) — seule cette brique d'identité visuelle est disponible à ce stade.</w:t>
      </w:r>
    </w:p>
    <w:p>
      <w:pPr>
        <w:pBdr>
          <w:bottom w:val="single" w:color="CBD5E1" w:sz="6" w:space="1"/>
        </w:pBdr>
        <w:spacing w:after="300" w:before="120"/>
      </w:pPr>
    </w:p>
    <w:p>
      <w:pPr>
        <w:pStyle w:val="Heading1"/>
        <w:pBdr>
          <w:bottom w:val="single" w:color="2563EB" w:sz="8" w:space="6"/>
        </w:pBdr>
        <w:spacing w:after="200" w:before="420"/>
      </w:pPr>
      <w:r>
        <w:rPr>
          <w:b/>
          <w:bCs/>
          <w:color w:val="2563EB"/>
          <w:sz w:val="30"/>
          <w:szCs w:val="30"/>
        </w:rPr>
        <w:t xml:space="preserve">5.  </w:t>
      </w:r>
      <w:r>
        <w:rPr>
          <w:b/>
          <w:bCs/>
          <w:color w:val="1E3A5F"/>
          <w:sz w:val="30"/>
          <w:szCs w:val="30"/>
        </w:rPr>
        <w:t xml:space="preserve">Profil utilisateur</w:t>
      </w:r>
    </w:p>
    <w:p>
      <w:pPr>
        <w:spacing w:after="160" w:line="300"/>
        <w:jc w:val="both"/>
      </w:pPr>
      <w:r>
        <w:rPr>
          <w:color w:val="334155"/>
          <w:sz w:val="22"/>
          <w:szCs w:val="22"/>
        </w:rPr>
        <w:t xml:space="preserve">Un menu accessible en haut à droite des écrans principaux permet à l'utilisateur connecté de consulter son profil (type d'utilisateur, nom, prénom, service, poste). Cette consultation est pour l'instant en lecture seule.</w:t>
      </w:r>
    </w:p>
    <w:p>
      <w:pPr>
        <w:pBdr>
          <w:bottom w:val="single" w:color="CBD5E1" w:sz="6" w:space="1"/>
        </w:pBdr>
        <w:spacing w:after="300" w:before="120"/>
      </w:pPr>
    </w:p>
    <w:p>
      <w:pPr>
        <w:shd w:fill="1E3A5F" w:val="clear"/>
        <w:spacing w:after="60" w:before="500"/>
        <w:jc w:val="left"/>
      </w:pPr>
      <w:r>
        <w:rPr>
          <w:b/>
          <w:bCs/>
          <w:color w:val="FFFFFF"/>
          <w:sz w:val="30"/>
          <w:szCs w:val="30"/>
        </w:rPr>
        <w:t xml:space="preserve">  PARTIE 2 — FONDATIONS ARCHITECTURALES</w:t>
      </w:r>
    </w:p>
    <w:p>
      <w:pPr>
        <w:spacing w:after="400"/>
        <w:jc w:val="both"/>
      </w:pPr>
      <w:r>
        <w:rPr>
          <w:i/>
          <w:iCs/>
          <w:color w:val="64748B"/>
          <w:sz w:val="20"/>
          <w:szCs w:val="20"/>
        </w:rPr>
        <w:t xml:space="preserve">Cette partie documente les décisions structurantes prises en préparation du backend, au fur et à mesure qu'elles sont tranchées.</w:t>
      </w:r>
    </w:p>
    <w:p>
      <w:pPr>
        <w:pStyle w:val="Heading1"/>
        <w:pBdr>
          <w:bottom w:val="single" w:color="2563EB" w:sz="8" w:space="6"/>
        </w:pBdr>
        <w:spacing w:after="200" w:before="420"/>
      </w:pPr>
      <w:r>
        <w:rPr>
          <w:b/>
          <w:bCs/>
          <w:color w:val="1E3A5F"/>
          <w:sz w:val="30"/>
          <w:szCs w:val="30"/>
        </w:rPr>
        <w:t xml:space="preserve">Contrainte transverse : hébergement serverless (Vercel)</w:t>
      </w:r>
    </w:p>
    <w:p>
      <w:pPr>
        <w:spacing w:after="160" w:line="300"/>
        <w:jc w:val="both"/>
      </w:pPr>
      <w:r>
        <w:rPr>
          <w:color w:val="334155"/>
          <w:sz w:val="22"/>
          <w:szCs w:val="22"/>
        </w:rPr>
        <w:t xml:space="preserve">Le backend (API, logique serveur) est hébergé sur Vercel sous forme de fonctions serverless (« Vercel Functions »), pas sur un serveur ou un conteneur qu'on gère soi-même. Concrètement, chaque appel à une route API provisionne à la demande une instance d'exécution éphémère (isolée dans une micro-VM), qui traite la requête puis est libérée ou réutilisée pour une requête suivante — sans jamais qu'on ait à dimensionner ni maintenir de serveur.</w:t>
      </w:r>
    </w:p>
    <w:p>
      <w:pPr>
        <w:spacing w:after="160" w:line="300"/>
        <w:jc w:val="both"/>
      </w:pPr>
      <w:r>
        <w:rPr>
          <w:color w:val="334155"/>
          <w:sz w:val="22"/>
          <w:szCs w:val="22"/>
        </w:rPr>
        <w:t xml:space="preserve">Cette architecture apporte une réelle simplicité de mise en œuvre et de déploiement (pas d'infrastructure à administrer, montée en charge automatique), mais avec une contrainte structurante : </w:t>
      </w:r>
      <w:r>
        <w:rPr>
          <w:b/>
          <w:bCs/>
          <w:color w:val="334155"/>
          <w:sz w:val="22"/>
          <w:szCs w:val="22"/>
        </w:rPr>
        <w:t xml:space="preserve">aucun système de fichiers persistant</w:t>
      </w:r>
      <w:r>
        <w:rPr>
          <w:color w:val="334155"/>
          <w:sz w:val="22"/>
          <w:szCs w:val="22"/>
        </w:rPr>
        <w:t xml:space="preserve">. L'espace disque temporaire disponible pendant l'exécution est remis à zéro entre deux appels (et peut même être une machine physique différente d'un appel à l'autre) — impossible donc d'y stocker durablement quoi que ce soit (export généré, fichier de sauvegarde...).</w:t>
      </w:r>
    </w:p>
    <w:p>
      <w:pPr>
        <w:spacing w:after="160" w:line="300"/>
        <w:jc w:val="both"/>
      </w:pPr>
      <w:r>
        <w:rPr>
          <w:b/>
          <w:bCs/>
          <w:color w:val="334155"/>
          <w:sz w:val="22"/>
          <w:szCs w:val="22"/>
        </w:rPr>
        <w:t xml:space="preserve">Conséquence pour notre architecture</w:t>
      </w:r>
      <w:r>
        <w:rPr>
          <w:color w:val="334155"/>
          <w:sz w:val="22"/>
          <w:szCs w:val="22"/>
        </w:rPr>
        <w:t xml:space="preserve"> : toute donnée qui doit survivre à une requête est stockée ailleurs que sur le serveur d'exécution, dans Supabase — soit dans la base de données, soit dans un service de stockage de fichiers séparé selon le cas (ex. le logo d'un EHPAD, petit fichier rarement modifié, est stocké directement en base sous forme d'image encodée en base64, cf. modélisation de la base de données, plutôt que via un service de stockage à part). C'est aussi cette même contrainte qui explique pourquoi la sauvegarde de la base de données (issue #29) passe par une connexion PostgreSQL directe vers un serveur externe, plutôt que par une tâche Vercel qui écrirait un fichier de sauvegarde localement.</w:t>
      </w:r>
    </w:p>
    <w:p>
      <w:pPr>
        <w:pStyle w:val="Heading1"/>
        <w:pBdr>
          <w:bottom w:val="single" w:color="2563EB" w:sz="8" w:space="6"/>
        </w:pBdr>
        <w:spacing w:after="200" w:before="420"/>
      </w:pPr>
      <w:r>
        <w:rPr>
          <w:b/>
          <w:bCs/>
          <w:color w:val="2563EB"/>
          <w:sz w:val="30"/>
          <w:szCs w:val="30"/>
        </w:rPr>
        <w:t xml:space="preserve">1.  </w:t>
      </w:r>
      <w:r>
        <w:rPr>
          <w:b/>
          <w:bCs/>
          <w:color w:val="1E3A5F"/>
          <w:sz w:val="30"/>
          <w:szCs w:val="30"/>
        </w:rPr>
        <w:t xml:space="preserve">Authentification et gestion des comptes</w:t>
      </w:r>
    </w:p>
    <w:p>
      <w:pPr>
        <w:pStyle w:val="Heading2"/>
        <w:spacing w:after="140" w:before="280"/>
      </w:pPr>
      <w:r>
        <w:rPr>
          <w:b/>
          <w:bCs/>
          <w:color w:val="2563EB"/>
          <w:sz w:val="25"/>
          <w:szCs w:val="25"/>
        </w:rPr>
        <w:t xml:space="preserve">Types de comptes</w:t>
      </w:r>
    </w:p>
    <w:p>
      <w:pPr>
        <w:pStyle w:val="ListParagraph"/>
        <w:numPr>
          <w:ilvl w:val="0"/>
          <w:numId w:val="2"/>
        </w:numPr>
        <w:spacing w:after="100" w:line="290"/>
        <w:jc w:val="both"/>
      </w:pPr>
      <w:r>
        <w:rPr>
          <w:b/>
          <w:bCs/>
          <w:color w:val="334155"/>
          <w:sz w:val="22"/>
          <w:szCs w:val="22"/>
        </w:rPr>
        <w:t xml:space="preserve">Administrateur Système</w:t>
      </w:r>
      <w:r>
        <w:rPr>
          <w:color w:val="334155"/>
          <w:sz w:val="22"/>
          <w:szCs w:val="22"/>
        </w:rPr>
        <w:t xml:space="preserve"> : supervision globale de l'application, tous établissements confondus. Porteur des futures fonctions d'administration technique, notamment la visualisation des logs (écrans à concevoir dans un epic ultérieur).</w:t>
      </w:r>
    </w:p>
    <w:p>
      <w:pPr>
        <w:pStyle w:val="ListParagraph"/>
        <w:numPr>
          <w:ilvl w:val="0"/>
          <w:numId w:val="2"/>
        </w:numPr>
        <w:spacing w:after="100" w:line="290"/>
        <w:jc w:val="both"/>
      </w:pPr>
      <w:r>
        <w:rPr>
          <w:b/>
          <w:bCs/>
          <w:color w:val="334155"/>
          <w:sz w:val="22"/>
          <w:szCs w:val="22"/>
        </w:rPr>
        <w:t xml:space="preserve">Administrateur</w:t>
      </w:r>
      <w:r>
        <w:rPr>
          <w:color w:val="334155"/>
          <w:sz w:val="22"/>
          <w:szCs w:val="22"/>
        </w:rPr>
        <w:t xml:space="preserve"> : compte métier, par établissement (le directeur ou son adjoint) — accès automatique à toutes les applications de son établissement (Planning, et une future application Qualité).</w:t>
      </w:r>
    </w:p>
    <w:p>
      <w:pPr>
        <w:pStyle w:val="ListParagraph"/>
        <w:numPr>
          <w:ilvl w:val="0"/>
          <w:numId w:val="2"/>
        </w:numPr>
        <w:spacing w:after="100" w:line="290"/>
        <w:jc w:val="both"/>
      </w:pPr>
      <w:r>
        <w:rPr>
          <w:b/>
          <w:bCs/>
          <w:color w:val="334155"/>
          <w:sz w:val="22"/>
          <w:szCs w:val="22"/>
        </w:rPr>
        <w:t xml:space="preserve">Utilisateur</w:t>
      </w:r>
      <w:r>
        <w:rPr>
          <w:color w:val="334155"/>
          <w:sz w:val="22"/>
          <w:szCs w:val="22"/>
        </w:rPr>
        <w:t xml:space="preserve"> : l'accès à chaque application est indépendant — un compte peut être rattaché à aucune, une seule, ou plusieurs applications.</w:t>
      </w:r>
    </w:p>
    <w:p>
      <w:pPr>
        <w:pStyle w:val="ListParagraph"/>
        <w:numPr>
          <w:ilvl w:val="0"/>
          <w:numId w:val="2"/>
        </w:numPr>
        <w:spacing w:after="100" w:line="290"/>
        <w:jc w:val="both"/>
      </w:pPr>
      <w:r>
        <w:rPr>
          <w:color w:val="334155"/>
          <w:sz w:val="22"/>
          <w:szCs w:val="22"/>
        </w:rPr>
        <w:t xml:space="preserve">Le salarié ne dispose pas de compte utilisateur.</w:t>
      </w:r>
    </w:p>
    <w:p>
      <w:pPr>
        <w:pStyle w:val="Heading2"/>
        <w:spacing w:after="140" w:before="280"/>
      </w:pPr>
      <w:r>
        <w:rPr>
          <w:b/>
          <w:bCs/>
          <w:color w:val="2563EB"/>
          <w:sz w:val="25"/>
          <w:szCs w:val="25"/>
        </w:rPr>
        <w:t xml:space="preserve">Réinitialisation de mot de passe</w:t>
      </w:r>
    </w:p>
    <w:p>
      <w:pPr>
        <w:pStyle w:val="ListParagraph"/>
        <w:numPr>
          <w:ilvl w:val="0"/>
          <w:numId w:val="2"/>
        </w:numPr>
        <w:spacing w:after="100" w:line="290"/>
        <w:jc w:val="both"/>
      </w:pPr>
      <w:r>
        <w:rPr>
          <w:color w:val="334155"/>
          <w:sz w:val="22"/>
          <w:szCs w:val="22"/>
        </w:rPr>
        <w:t xml:space="preserve">Flux principal : l'administrateur fixe directement un nouveau mot de passe pour un utilisateur, sans envoi d'email.</w:t>
      </w:r>
    </w:p>
    <w:p>
      <w:pPr>
        <w:pStyle w:val="ListParagraph"/>
        <w:numPr>
          <w:ilvl w:val="0"/>
          <w:numId w:val="2"/>
        </w:numPr>
        <w:spacing w:after="100" w:line="290"/>
        <w:jc w:val="both"/>
      </w:pPr>
      <w:r>
        <w:rPr>
          <w:color w:val="334155"/>
          <w:sz w:val="22"/>
          <w:szCs w:val="22"/>
        </w:rPr>
        <w:t xml:space="preserve">Flux complémentaire, en libre-service : un lien de réinitialisation envoyé par email (« mot de passe oublié »), pour un déploiement de taille réduite dans un premier temps — ce flux reste un confort secondaire, non bloquant : le flux administrateur ci-dessus reste toujours disponible en repli.</w:t>
      </w:r>
    </w:p>
    <w:p>
      <w:pPr>
        <w:pStyle w:val="Heading2"/>
        <w:spacing w:after="140" w:before="280"/>
      </w:pPr>
      <w:r>
        <w:rPr>
          <w:b/>
          <w:bCs/>
          <w:color w:val="2563EB"/>
          <w:sz w:val="25"/>
          <w:szCs w:val="25"/>
        </w:rPr>
        <w:t xml:space="preserve">Session</w:t>
      </w:r>
    </w:p>
    <w:p>
      <w:pPr>
        <w:pStyle w:val="ListParagraph"/>
        <w:numPr>
          <w:ilvl w:val="0"/>
          <w:numId w:val="2"/>
        </w:numPr>
        <w:spacing w:after="100" w:line="290"/>
        <w:jc w:val="both"/>
      </w:pPr>
      <w:r>
        <w:rPr>
          <w:color w:val="334155"/>
          <w:sz w:val="22"/>
          <w:szCs w:val="22"/>
        </w:rPr>
        <w:t xml:space="preserve">Plusieurs sessions simultanées sont autorisées pour un même compte (pas de restriction à une seule connexion active).</w:t>
      </w:r>
    </w:p>
    <w:p>
      <w:pPr>
        <w:pStyle w:val="ListParagraph"/>
        <w:numPr>
          <w:ilvl w:val="0"/>
          <w:numId w:val="2"/>
        </w:numPr>
        <w:spacing w:after="100" w:line="290"/>
        <w:jc w:val="both"/>
      </w:pPr>
      <w:r>
        <w:rPr>
          <w:color w:val="334155"/>
          <w:sz w:val="22"/>
          <w:szCs w:val="22"/>
        </w:rPr>
        <w:t xml:space="preserve">Une session est fermée automatiquement après </w:t>
      </w:r>
      <w:r>
        <w:rPr>
          <w:b/>
          <w:bCs/>
          <w:color w:val="334155"/>
          <w:sz w:val="22"/>
          <w:szCs w:val="22"/>
        </w:rPr>
        <w:t xml:space="preserve">15 minutes d'inactivité</w:t>
      </w:r>
      <w:r>
        <w:rPr>
          <w:color w:val="334155"/>
          <w:sz w:val="22"/>
          <w:szCs w:val="22"/>
        </w:rPr>
        <w:t xml:space="preserve">, quel que soit le type de compte.</w:t>
      </w:r>
    </w:p>
    <w:p>
      <w:pPr>
        <w:pStyle w:val="Heading2"/>
        <w:spacing w:after="140" w:before="280"/>
      </w:pPr>
      <w:r>
        <w:rPr>
          <w:b/>
          <w:bCs/>
          <w:color w:val="2563EB"/>
          <w:sz w:val="25"/>
          <w:szCs w:val="25"/>
        </w:rPr>
        <w:t xml:space="preserve">Règles de mot de passe</w:t>
      </w:r>
    </w:p>
    <w:p>
      <w:pPr>
        <w:pStyle w:val="ListParagraph"/>
        <w:numPr>
          <w:ilvl w:val="0"/>
          <w:numId w:val="2"/>
        </w:numPr>
        <w:spacing w:after="100" w:line="290"/>
        <w:jc w:val="both"/>
      </w:pPr>
      <w:r>
        <w:rPr>
          <w:color w:val="334155"/>
          <w:sz w:val="22"/>
          <w:szCs w:val="22"/>
        </w:rPr>
        <w:t xml:space="preserve">Longueur minimale de </w:t>
      </w:r>
      <w:r>
        <w:rPr>
          <w:b/>
          <w:bCs/>
          <w:color w:val="334155"/>
          <w:sz w:val="22"/>
          <w:szCs w:val="22"/>
        </w:rPr>
        <w:t xml:space="preserve">8 caractères</w:t>
      </w:r>
      <w:r>
        <w:rPr>
          <w:color w:val="334155"/>
          <w:sz w:val="22"/>
          <w:szCs w:val="22"/>
        </w:rPr>
        <w:t xml:space="preserve">.</w:t>
      </w:r>
    </w:p>
    <w:p>
      <w:pPr>
        <w:pStyle w:val="ListParagraph"/>
        <w:numPr>
          <w:ilvl w:val="0"/>
          <w:numId w:val="2"/>
        </w:numPr>
        <w:spacing w:after="100" w:line="290"/>
        <w:jc w:val="both"/>
      </w:pPr>
      <w:r>
        <w:rPr>
          <w:color w:val="334155"/>
          <w:sz w:val="22"/>
          <w:szCs w:val="22"/>
        </w:rPr>
        <w:t xml:space="preserve">Au moins </w:t>
      </w:r>
      <w:r>
        <w:rPr>
          <w:b/>
          <w:bCs/>
          <w:color w:val="334155"/>
          <w:sz w:val="22"/>
          <w:szCs w:val="22"/>
        </w:rPr>
        <w:t xml:space="preserve">un caractère spécial</w:t>
      </w:r>
      <w:r>
        <w:rPr>
          <w:color w:val="334155"/>
          <w:sz w:val="22"/>
          <w:szCs w:val="22"/>
        </w:rPr>
        <w:t xml:space="preserve">.</w:t>
      </w:r>
    </w:p>
    <w:p>
      <w:pPr>
        <w:pStyle w:val="ListParagraph"/>
        <w:numPr>
          <w:ilvl w:val="0"/>
          <w:numId w:val="2"/>
        </w:numPr>
        <w:spacing w:after="100" w:line="290"/>
        <w:jc w:val="both"/>
      </w:pPr>
      <w:r>
        <w:rPr>
          <w:color w:val="334155"/>
          <w:sz w:val="22"/>
          <w:szCs w:val="22"/>
        </w:rPr>
        <w:t xml:space="preserve">Un indicateur de robustesse (jauge de complexité) doit passer au vert avant de pouvoir valider le mot de passe, afin d'écarter les mots de passe qui respectent les règles ci-dessus tout en restant trivialement faibles (ex. « 12345678! »).</w:t>
      </w:r>
    </w:p>
    <w:p>
      <w:pPr>
        <w:pStyle w:val="Heading1"/>
        <w:pBdr>
          <w:bottom w:val="single" w:color="2563EB" w:sz="8" w:space="6"/>
        </w:pBdr>
        <w:spacing w:after="200" w:before="420"/>
      </w:pPr>
      <w:r>
        <w:rPr>
          <w:b/>
          <w:bCs/>
          <w:color w:val="2563EB"/>
          <w:sz w:val="30"/>
          <w:szCs w:val="30"/>
        </w:rPr>
        <w:t xml:space="preserve">2.  </w:t>
      </w:r>
      <w:r>
        <w:rPr>
          <w:b/>
          <w:bCs/>
          <w:color w:val="1E3A5F"/>
          <w:sz w:val="30"/>
          <w:szCs w:val="30"/>
        </w:rPr>
        <w:t xml:space="preserve">Modélisation de la base de données</w:t>
      </w:r>
    </w:p>
    <w:p>
      <w:pPr>
        <w:spacing w:after="160" w:line="300"/>
        <w:jc w:val="both"/>
      </w:pPr>
      <w:r>
        <w:rPr>
          <w:color w:val="334155"/>
          <w:sz w:val="22"/>
          <w:szCs w:val="22"/>
        </w:rPr>
        <w:t xml:space="preserve">Modèle conceptuel (MCD) et logique (MLD) couvrant l'ensemble des exigences de la maquette et les décisions ci-dessus, organisé en 7 domaines. Document de détail : modèle de données (issue #25).</w:t>
      </w:r>
    </w:p>
    <w:p>
      <w:pPr>
        <w:pStyle w:val="ListParagraph"/>
        <w:numPr>
          <w:ilvl w:val="0"/>
          <w:numId w:val="2"/>
        </w:numPr>
        <w:spacing w:after="100" w:line="290"/>
        <w:jc w:val="both"/>
      </w:pPr>
      <w:r>
        <w:rPr>
          <w:b/>
          <w:bCs/>
          <w:color w:val="334155"/>
          <w:sz w:val="22"/>
          <w:szCs w:val="22"/>
        </w:rPr>
        <w:t xml:space="preserve">Établissement, comptes &amp; applications</w:t>
      </w:r>
      <w:r>
        <w:rPr>
          <w:color w:val="334155"/>
          <w:sz w:val="22"/>
          <w:szCs w:val="22"/>
        </w:rPr>
        <w:t xml:space="preserve"> : un établissement (EHPAD) porte ses services et ses comptes. L'Administrateur Système est modélisé dans une table séparée des comptes d'établissement, puisqu'il n'est rattaché à aucun EHPAD ni à aucune application — il supervise l'ensemble. Chaque établissement souscrit explicitement aux applications auxquelles il a accès (ex. un établissement qui n'a pas pris l'application Qualité) ; l'accès individuel d'un compte Utilisateur à une application reste toujours contenu dans les applications souscrites par son établissement.</w:t>
      </w:r>
    </w:p>
    <w:p>
      <w:pPr>
        <w:pStyle w:val="ListParagraph"/>
        <w:numPr>
          <w:ilvl w:val="0"/>
          <w:numId w:val="2"/>
        </w:numPr>
        <w:spacing w:after="100" w:line="290"/>
        <w:jc w:val="both"/>
      </w:pPr>
      <w:r>
        <w:rPr>
          <w:b/>
          <w:bCs/>
          <w:color w:val="334155"/>
          <w:sz w:val="22"/>
          <w:szCs w:val="22"/>
        </w:rPr>
        <w:t xml:space="preserve">Salariés &amp; organisation</w:t>
      </w:r>
      <w:r>
        <w:rPr>
          <w:color w:val="334155"/>
          <w:sz w:val="22"/>
          <w:szCs w:val="22"/>
        </w:rPr>
        <w:t xml:space="preserve"> : le salarié reste une entité totalement indépendante du compte utilisateur, conformément à la décision « le salarié n'a pas de compte ». Son contrat de travail est historisé : un salarié peut avoir eu plusieurs contrats successifs (CDD renouvelés, passage en CDI…), un seul étant actif à un instant donné.</w:t>
      </w:r>
    </w:p>
    <w:p>
      <w:pPr>
        <w:pStyle w:val="ListParagraph"/>
        <w:numPr>
          <w:ilvl w:val="0"/>
          <w:numId w:val="2"/>
        </w:numPr>
        <w:spacing w:after="100" w:line="290"/>
        <w:jc w:val="both"/>
      </w:pPr>
      <w:r>
        <w:rPr>
          <w:b/>
          <w:bCs/>
          <w:color w:val="334155"/>
          <w:sz w:val="22"/>
          <w:szCs w:val="22"/>
        </w:rPr>
        <w:t xml:space="preserve">Codes horaires</w:t>
      </w:r>
      <w:r>
        <w:rPr>
          <w:color w:val="334155"/>
          <w:sz w:val="22"/>
          <w:szCs w:val="22"/>
        </w:rPr>
        <w:t xml:space="preserve"> : un code horaire porte les champs communs à toute catégorie (Travail / Informatif / Particulier / Événementiel), ainsi que les champs propres à la catégorie Événementiel (comportement, règle de décompte).</w:t>
      </w:r>
    </w:p>
    <w:p>
      <w:pPr>
        <w:pStyle w:val="ListParagraph"/>
        <w:numPr>
          <w:ilvl w:val="0"/>
          <w:numId w:val="2"/>
        </w:numPr>
        <w:spacing w:after="100" w:line="290"/>
        <w:jc w:val="both"/>
      </w:pPr>
      <w:r>
        <w:rPr>
          <w:b/>
          <w:bCs/>
          <w:color w:val="334155"/>
          <w:sz w:val="22"/>
          <w:szCs w:val="22"/>
        </w:rPr>
        <w:t xml:space="preserve">Roulements</w:t>
      </w:r>
      <w:r>
        <w:rPr>
          <w:color w:val="334155"/>
          <w:sz w:val="22"/>
          <w:szCs w:val="22"/>
        </w:rPr>
        <w:t xml:space="preserve"> : un motif récurrent (nombre de semaines × 7 jours), et son affectation dans le temps à un salarié, avec historique des affectations successives.</w:t>
      </w:r>
    </w:p>
    <w:p>
      <w:pPr>
        <w:pStyle w:val="ListParagraph"/>
        <w:numPr>
          <w:ilvl w:val="0"/>
          <w:numId w:val="2"/>
        </w:numPr>
        <w:spacing w:after="100" w:line="290"/>
        <w:jc w:val="both"/>
      </w:pPr>
      <w:r>
        <w:rPr>
          <w:b/>
          <w:bCs/>
          <w:color w:val="334155"/>
          <w:sz w:val="22"/>
          <w:szCs w:val="22"/>
        </w:rPr>
        <w:t xml:space="preserve">Planning &amp; émargement</w:t>
      </w:r>
      <w:r>
        <w:rPr>
          <w:color w:val="334155"/>
          <w:sz w:val="22"/>
          <w:szCs w:val="22"/>
        </w:rPr>
        <w:t xml:space="preserve"> : une case par salarié et par jour, portant un code de travail et/ou un code événementiel ; un enregistrement dédié matérialise la validation mensuelle d'un salarié.</w:t>
      </w:r>
    </w:p>
    <w:p>
      <w:pPr>
        <w:pStyle w:val="ListParagraph"/>
        <w:numPr>
          <w:ilvl w:val="0"/>
          <w:numId w:val="2"/>
        </w:numPr>
        <w:spacing w:after="100" w:line="290"/>
        <w:jc w:val="both"/>
      </w:pPr>
      <w:r>
        <w:rPr>
          <w:b/>
          <w:bCs/>
          <w:color w:val="334155"/>
          <w:sz w:val="22"/>
          <w:szCs w:val="22"/>
        </w:rPr>
        <w:t xml:space="preserve">Calendrier</w:t>
      </w:r>
      <w:r>
        <w:rPr>
          <w:color w:val="334155"/>
          <w:sz w:val="22"/>
          <w:szCs w:val="22"/>
        </w:rPr>
        <w:t xml:space="preserve"> : une année planifiée par établissement, avec ses jours fériés fixes, calculés et personnalisés.</w:t>
      </w:r>
    </w:p>
    <w:p>
      <w:pPr>
        <w:pStyle w:val="ListParagraph"/>
        <w:numPr>
          <w:ilvl w:val="0"/>
          <w:numId w:val="2"/>
        </w:numPr>
        <w:spacing w:after="100" w:line="290"/>
        <w:jc w:val="both"/>
      </w:pPr>
      <w:r>
        <w:rPr>
          <w:b/>
          <w:bCs/>
          <w:color w:val="334155"/>
          <w:sz w:val="22"/>
          <w:szCs w:val="22"/>
        </w:rPr>
        <w:t xml:space="preserve">Traçabilité</w:t>
      </w:r>
      <w:r>
        <w:rPr>
          <w:color w:val="334155"/>
          <w:sz w:val="22"/>
          <w:szCs w:val="22"/>
        </w:rPr>
        <w:t xml:space="preserve"> : un historique dédié aux valeurs successives d'une case de planning (répond au point ouvert « traçabilité des cellules »), complété par un journal d'audit générique pour les autres opérations (roulements, codes horaires, comptes…). L'auteur d'une opération peut être un compte d'établissement ou l'Administrateur Système : les deux entités partagent la même identité technique sous-jacente.</w:t>
      </w:r>
    </w:p>
    <w:p>
      <w:pPr>
        <w:spacing w:after="160" w:line="300"/>
        <w:jc w:val="both"/>
      </w:pPr>
      <w:r>
        <w:rPr>
          <w:color w:val="334155"/>
          <w:sz w:val="22"/>
          <w:szCs w:val="22"/>
        </w:rPr>
        <w:t xml:space="preserve">Certaines règles de cohérence ne peuvent pas être exprimées par une simple contrainte sur une table (ex. « au plus un contrat actif par salarié », ou « un code posé comme code de travail doit bien être de catégorie Travail »). Elles seront garanties directement en base de données (index et contraintes dédiés), et non uniquement côté applicatif : l'API générée par Supabase étant directement accessible, seules les règles posées en base constituent une garantie fiable.</w:t>
      </w:r>
    </w:p>
    <w:p>
      <w:pPr>
        <w:pStyle w:val="Heading1"/>
        <w:pBdr>
          <w:bottom w:val="single" w:color="2563EB" w:sz="8" w:space="6"/>
        </w:pBdr>
        <w:spacing w:after="200" w:before="420"/>
      </w:pPr>
      <w:r>
        <w:rPr>
          <w:b/>
          <w:bCs/>
          <w:color w:val="2563EB"/>
          <w:sz w:val="30"/>
          <w:szCs w:val="30"/>
        </w:rPr>
        <w:t xml:space="preserve">3.  </w:t>
      </w:r>
      <w:r>
        <w:rPr>
          <w:b/>
          <w:bCs/>
          <w:color w:val="1E3A5F"/>
          <w:sz w:val="30"/>
          <w:szCs w:val="30"/>
        </w:rPr>
        <w:t xml:space="preserve">Architecture multi-application</w:t>
      </w:r>
    </w:p>
    <w:p>
      <w:pPr>
        <w:spacing w:after="160" w:line="300"/>
        <w:jc w:val="both"/>
      </w:pPr>
      <w:r>
        <w:rPr>
          <w:color w:val="334155"/>
          <w:sz w:val="22"/>
          <w:szCs w:val="22"/>
        </w:rPr>
        <w:t xml:space="preserve">Prépare l'accueil, à terme, d'une seconde application indépendante de Planning (ex. un plan d'action qualité), partageant les mêmes comptes et le même établissement.</w:t>
      </w:r>
    </w:p>
    <w:p>
      <w:pPr>
        <w:pStyle w:val="Heading2"/>
        <w:spacing w:after="140" w:before="280"/>
      </w:pPr>
      <w:r>
        <w:rPr>
          <w:b/>
          <w:bCs/>
          <w:color w:val="2563EB"/>
          <w:sz w:val="25"/>
          <w:szCs w:val="25"/>
        </w:rPr>
        <w:t xml:space="preserve">Socle commun</w:t>
      </w:r>
    </w:p>
    <w:p>
      <w:pPr>
        <w:pStyle w:val="ListParagraph"/>
        <w:numPr>
          <w:ilvl w:val="0"/>
          <w:numId w:val="2"/>
        </w:numPr>
        <w:spacing w:after="100" w:line="290"/>
        <w:jc w:val="both"/>
      </w:pPr>
      <w:r>
        <w:rPr>
          <w:color w:val="334155"/>
          <w:sz w:val="22"/>
          <w:szCs w:val="22"/>
        </w:rPr>
        <w:t xml:space="preserve">Comptes, établissements (EHPAD) et authentification forment un socle découplé du métier Planning, pour qu'une autre application puisse s'y brancher sans dépendre de son code ni de son schéma.</w:t>
      </w:r>
    </w:p>
    <w:p>
      <w:pPr>
        <w:pStyle w:val="Heading2"/>
        <w:spacing w:after="140" w:before="280"/>
      </w:pPr>
      <w:r>
        <w:rPr>
          <w:b/>
          <w:bCs/>
          <w:color w:val="2563EB"/>
          <w:sz w:val="25"/>
          <w:szCs w:val="25"/>
        </w:rPr>
        <w:t xml:space="preserve">Droits par application</w:t>
      </w:r>
    </w:p>
    <w:p>
      <w:pPr>
        <w:pStyle w:val="ListParagraph"/>
        <w:numPr>
          <w:ilvl w:val="0"/>
          <w:numId w:val="2"/>
        </w:numPr>
        <w:spacing w:after="100" w:line="290"/>
        <w:jc w:val="both"/>
      </w:pPr>
      <w:r>
        <w:rPr>
          <w:color w:val="334155"/>
          <w:sz w:val="22"/>
          <w:szCs w:val="22"/>
        </w:rPr>
        <w:t xml:space="preserve">Un compte </w:t>
      </w:r>
      <w:r>
        <w:rPr>
          <w:b/>
          <w:bCs/>
          <w:color w:val="334155"/>
          <w:sz w:val="22"/>
          <w:szCs w:val="22"/>
        </w:rPr>
        <w:t xml:space="preserve">Administrateur</w:t>
      </w:r>
      <w:r>
        <w:rPr>
          <w:color w:val="334155"/>
          <w:sz w:val="22"/>
          <w:szCs w:val="22"/>
        </w:rPr>
        <w:t xml:space="preserve"> a accès automatiquement à toutes les applications souscrites par son établissement.</w:t>
      </w:r>
    </w:p>
    <w:p>
      <w:pPr>
        <w:pStyle w:val="ListParagraph"/>
        <w:numPr>
          <w:ilvl w:val="0"/>
          <w:numId w:val="2"/>
        </w:numPr>
        <w:spacing w:after="100" w:line="290"/>
        <w:jc w:val="both"/>
      </w:pPr>
      <w:r>
        <w:rPr>
          <w:color w:val="334155"/>
          <w:sz w:val="22"/>
          <w:szCs w:val="22"/>
        </w:rPr>
        <w:t xml:space="preserve">Un compte </w:t>
      </w:r>
      <w:r>
        <w:rPr>
          <w:b/>
          <w:bCs/>
          <w:color w:val="334155"/>
          <w:sz w:val="22"/>
          <w:szCs w:val="22"/>
        </w:rPr>
        <w:t xml:space="preserve">Utilisateur</w:t>
      </w:r>
      <w:r>
        <w:rPr>
          <w:color w:val="334155"/>
          <w:sz w:val="22"/>
          <w:szCs w:val="22"/>
        </w:rPr>
        <w:t xml:space="preserve"> a un accès indépendant par application (aucune, une seule, ou plusieurs), toujours contenu dans les applications souscrites par son établissement.</w:t>
      </w:r>
    </w:p>
    <w:p>
      <w:pPr>
        <w:pStyle w:val="ListParagraph"/>
        <w:numPr>
          <w:ilvl w:val="0"/>
          <w:numId w:val="2"/>
        </w:numPr>
        <w:spacing w:after="100" w:line="290"/>
        <w:jc w:val="both"/>
      </w:pPr>
      <w:r>
        <w:rPr>
          <w:color w:val="334155"/>
          <w:sz w:val="22"/>
          <w:szCs w:val="22"/>
        </w:rPr>
        <w:t xml:space="preserve">Un établissement souscrit explicitement à chaque application (ex. un établissement qui n'a pas pris l'application Qualité) — ce qui permet des offres à périmètre variable.</w:t>
      </w:r>
    </w:p>
    <w:p>
      <w:pPr>
        <w:pStyle w:val="Heading2"/>
        <w:spacing w:after="140" w:before="280"/>
      </w:pPr>
      <w:r>
        <w:rPr>
          <w:b/>
          <w:bCs/>
          <w:color w:val="2563EB"/>
          <w:sz w:val="25"/>
          <w:szCs w:val="25"/>
        </w:rPr>
        <w:t xml:space="preserve">Point d'entrée entre applications</w:t>
      </w:r>
    </w:p>
    <w:p>
      <w:pPr>
        <w:pStyle w:val="ListParagraph"/>
        <w:numPr>
          <w:ilvl w:val="0"/>
          <w:numId w:val="2"/>
        </w:numPr>
        <w:spacing w:after="100" w:line="290"/>
        <w:jc w:val="both"/>
      </w:pPr>
      <w:r>
        <w:rPr>
          <w:color w:val="334155"/>
          <w:sz w:val="22"/>
          <w:szCs w:val="22"/>
        </w:rPr>
        <w:t xml:space="preserve">Après connexion, un compte n'ayant accès qu'à une seule application y entre directement. Un compte ayant accès à plusieurs applications passe par un sélecteur simple (les applications restant peu nombreuses, un portail élaboré n'est pas nécessaire à ce stade).</w:t>
      </w:r>
    </w:p>
    <w:p>
      <w:pPr>
        <w:pStyle w:val="Heading2"/>
        <w:spacing w:after="140" w:before="280"/>
      </w:pPr>
      <w:r>
        <w:rPr>
          <w:b/>
          <w:bCs/>
          <w:color w:val="2563EB"/>
          <w:sz w:val="25"/>
          <w:szCs w:val="25"/>
        </w:rPr>
        <w:t xml:space="preserve">Gestion des établissements par l'Administrateur Système</w:t>
      </w:r>
    </w:p>
    <w:p>
      <w:pPr>
        <w:spacing w:after="160" w:line="300"/>
        <w:jc w:val="both"/>
      </w:pPr>
      <w:r>
        <w:rPr>
          <w:color w:val="334155"/>
          <w:sz w:val="22"/>
          <w:szCs w:val="22"/>
        </w:rPr>
        <w:t xml:space="preserve">Répond au point ouvert « qui peut créer un nouvel établissement ? » : seul l'</w:t>
      </w:r>
      <w:r>
        <w:rPr>
          <w:b/>
          <w:bCs/>
          <w:color w:val="334155"/>
          <w:sz w:val="22"/>
          <w:szCs w:val="22"/>
        </w:rPr>
        <w:t xml:space="preserve">Administrateur Système</w:t>
      </w:r>
      <w:r>
        <w:rPr>
          <w:color w:val="334155"/>
          <w:sz w:val="22"/>
          <w:szCs w:val="22"/>
        </w:rPr>
        <w:t xml:space="preserve"> peut créer, consulter et gérer les établissements, depuis un écran dédié qui lui est réservé.</w:t>
      </w:r>
    </w:p>
    <w:p>
      <w:pPr>
        <w:pStyle w:val="ListParagraph"/>
        <w:numPr>
          <w:ilvl w:val="0"/>
          <w:numId w:val="2"/>
        </w:numPr>
        <w:spacing w:after="100" w:line="290"/>
        <w:jc w:val="both"/>
      </w:pPr>
      <w:r>
        <w:rPr>
          <w:b/>
          <w:bCs/>
          <w:color w:val="334155"/>
          <w:sz w:val="22"/>
          <w:szCs w:val="22"/>
        </w:rPr>
        <w:t xml:space="preserve">Liste des établissements existants</w:t>
      </w:r>
      <w:r>
        <w:rPr>
          <w:color w:val="334155"/>
          <w:sz w:val="22"/>
          <w:szCs w:val="22"/>
        </w:rPr>
        <w:t xml:space="preserve">, pour un suivi global.</w:t>
      </w:r>
    </w:p>
    <w:p>
      <w:pPr>
        <w:pStyle w:val="ListParagraph"/>
        <w:numPr>
          <w:ilvl w:val="0"/>
          <w:numId w:val="2"/>
        </w:numPr>
        <w:spacing w:after="100" w:line="290"/>
        <w:jc w:val="both"/>
      </w:pPr>
      <w:r>
        <w:rPr>
          <w:b/>
          <w:bCs/>
          <w:color w:val="334155"/>
          <w:sz w:val="22"/>
          <w:szCs w:val="22"/>
        </w:rPr>
        <w:t xml:space="preserve">Création d'un établissement</w:t>
      </w:r>
      <w:r>
        <w:rPr>
          <w:color w:val="334155"/>
          <w:sz w:val="22"/>
          <w:szCs w:val="22"/>
        </w:rPr>
        <w:t xml:space="preserve">, en une seule opération (garantie tout-ou-rien) : nom, logo, applications souscrites, et premier compte Administrateur (l'Administrateur Système lui fixe un mot de passe initial, comme pour tout compte). Un établissement n'existe donc jamais sans administrateur.</w:t>
      </w:r>
    </w:p>
    <w:p>
      <w:pPr>
        <w:pStyle w:val="ListParagraph"/>
        <w:numPr>
          <w:ilvl w:val="0"/>
          <w:numId w:val="2"/>
        </w:numPr>
        <w:spacing w:after="100" w:line="290"/>
        <w:jc w:val="both"/>
      </w:pPr>
      <w:r>
        <w:rPr>
          <w:b/>
          <w:bCs/>
          <w:color w:val="334155"/>
          <w:sz w:val="22"/>
          <w:szCs w:val="22"/>
        </w:rPr>
        <w:t xml:space="preserve">Gestion d'un établissement existant</w:t>
      </w:r>
      <w:r>
        <w:rPr>
          <w:color w:val="334155"/>
          <w:sz w:val="22"/>
          <w:szCs w:val="22"/>
        </w:rPr>
        <w:t xml:space="preserve"> : modification des applications souscrites (ex. ajout ultérieur de l'application Qualité), et </w:t>
      </w:r>
      <w:r>
        <w:rPr>
          <w:b/>
          <w:bCs/>
          <w:color w:val="334155"/>
          <w:sz w:val="22"/>
          <w:szCs w:val="22"/>
        </w:rPr>
        <w:t xml:space="preserve">désactivation</w:t>
      </w:r>
      <w:r>
        <w:rPr>
          <w:color w:val="334155"/>
          <w:sz w:val="22"/>
          <w:szCs w:val="22"/>
        </w:rPr>
        <w:t xml:space="preserve"> (résiliation, impayé…) sans suppression des données — la désactivation coupe automatiquement l'accès de tous les comptes de cet établissement, sans avoir à les désactiver un par un.</w:t>
      </w:r>
    </w:p>
    <w:p>
      <w:pPr>
        <w:pStyle w:val="Heading1"/>
        <w:pBdr>
          <w:bottom w:val="single" w:color="2563EB" w:sz="8" w:space="6"/>
        </w:pBdr>
        <w:spacing w:after="200" w:before="420"/>
      </w:pPr>
      <w:r>
        <w:rPr>
          <w:b/>
          <w:bCs/>
          <w:color w:val="2563EB"/>
          <w:sz w:val="30"/>
          <w:szCs w:val="30"/>
        </w:rPr>
        <w:t xml:space="preserve">4.  </w:t>
      </w:r>
      <w:r>
        <w:rPr>
          <w:b/>
          <w:bCs/>
          <w:color w:val="1E3A5F"/>
          <w:sz w:val="30"/>
          <w:szCs w:val="30"/>
        </w:rPr>
        <w:t xml:space="preserve">API backend</w:t>
      </w:r>
    </w:p>
    <w:p>
      <w:pPr>
        <w:spacing w:after="160" w:line="300"/>
        <w:jc w:val="both"/>
      </w:pPr>
      <w:r>
        <w:rPr>
          <w:color w:val="334155"/>
          <w:sz w:val="22"/>
          <w:szCs w:val="22"/>
        </w:rPr>
        <w:t xml:space="preserve">L'essentiel de l'API n'est pas écrit à la main : elle est exposée directement par la base de données (Supabase/PostgREST), qui génère le CRUD standard à partir du schéma. Seules quatre opérations, qui doivent créer ou consulter des informations sensibles côté serveur, passent par une fonction dédiée :</w:t>
      </w:r>
    </w:p>
    <w:p>
      <w:pPr>
        <w:pStyle w:val="ListParagraph"/>
        <w:numPr>
          <w:ilvl w:val="0"/>
          <w:numId w:val="2"/>
        </w:numPr>
        <w:spacing w:after="100" w:line="290"/>
        <w:jc w:val="both"/>
      </w:pPr>
      <w:r>
        <w:rPr>
          <w:b/>
          <w:bCs/>
          <w:color w:val="334155"/>
          <w:sz w:val="22"/>
          <w:szCs w:val="22"/>
        </w:rPr>
        <w:t xml:space="preserve">Connexion par identifiant</w:t>
      </w:r>
      <w:r>
        <w:rPr>
          <w:color w:val="334155"/>
          <w:sz w:val="22"/>
          <w:szCs w:val="22"/>
        </w:rPr>
        <w:t xml:space="preserve"> : la connexion se fait avec l'identifiant court de l'utilisateur (pas son email), résolu vers l'adresse email correspondante côté serveur avant de vérifier le mot de passe — un identifiant inconnu et un mot de passe incorrect renvoient exactement le même message, pour ne jamais laisser deviner quels identifiants existent.</w:t>
      </w:r>
    </w:p>
    <w:p>
      <w:pPr>
        <w:pStyle w:val="ListParagraph"/>
        <w:numPr>
          <w:ilvl w:val="0"/>
          <w:numId w:val="2"/>
        </w:numPr>
        <w:spacing w:after="100" w:line="290"/>
        <w:jc w:val="both"/>
      </w:pPr>
      <w:r>
        <w:rPr>
          <w:b/>
          <w:bCs/>
          <w:color w:val="334155"/>
          <w:sz w:val="22"/>
          <w:szCs w:val="22"/>
        </w:rPr>
        <w:t xml:space="preserve">Création d'un établissement</w:t>
      </w:r>
      <w:r>
        <w:rPr>
          <w:color w:val="334155"/>
          <w:sz w:val="22"/>
          <w:szCs w:val="22"/>
        </w:rPr>
        <w:t xml:space="preserve">, </w:t>
      </w:r>
      <w:r>
        <w:rPr>
          <w:b/>
          <w:bCs/>
          <w:color w:val="334155"/>
          <w:sz w:val="22"/>
          <w:szCs w:val="22"/>
        </w:rPr>
        <w:t xml:space="preserve">création d'un compte</w:t>
      </w:r>
      <w:r>
        <w:rPr>
          <w:color w:val="334155"/>
          <w:sz w:val="22"/>
          <w:szCs w:val="22"/>
        </w:rPr>
        <w:t xml:space="preserve"> (ou d'un Administrateur Système) et </w:t>
      </w:r>
      <w:r>
        <w:rPr>
          <w:b/>
          <w:bCs/>
          <w:color w:val="334155"/>
          <w:sz w:val="22"/>
          <w:szCs w:val="22"/>
        </w:rPr>
        <w:t xml:space="preserve">réinitialisation d'un mot de passe</w:t>
      </w:r>
      <w:r>
        <w:rPr>
          <w:color w:val="334155"/>
          <w:sz w:val="22"/>
          <w:szCs w:val="22"/>
        </w:rPr>
        <w:t xml:space="preserve"> : chacune de ces opérations crée ou modifie un utilisateur, ce qui nécessite un accès serveur que l'application ne délègue jamais au navigateur.</w:t>
      </w:r>
    </w:p>
    <w:p>
      <w:pPr>
        <w:spacing w:after="160" w:line="300"/>
        <w:jc w:val="both"/>
      </w:pPr>
      <w:r>
        <w:rPr>
          <w:color w:val="334155"/>
          <w:sz w:val="22"/>
          <w:szCs w:val="22"/>
        </w:rPr>
        <w:t xml:space="preserve">Le reste de l'API (planning, roulements, codes horaires, salariés, calendrier…) suit les mêmes règles d'accès que l'écran qui les consomme, sans détour par une brique intermédiaire — y compris les opérations qui portent une vraie règle métier (ex. l'application d'un roulement, qui respecte le principe déjà énoncé : tout ou rien par salarié si une semaine est déjà remplie), traitées directement au niveau de la base de données.</w:t>
      </w:r>
    </w:p>
    <w:p>
      <w:pPr>
        <w:spacing w:after="160" w:line="300"/>
        <w:jc w:val="both"/>
      </w:pPr>
      <w:r>
        <w:rPr>
          <w:color w:val="334155"/>
          <w:sz w:val="22"/>
          <w:szCs w:val="22"/>
        </w:rPr>
        <w:t xml:space="preserve">La documentation de l'API n'est pas publiée sur une route ouverte à tous : un écran dédié, réservé à l'</w:t>
      </w:r>
      <w:r>
        <w:rPr>
          <w:b/>
          <w:bCs/>
          <w:color w:val="334155"/>
          <w:sz w:val="22"/>
          <w:szCs w:val="22"/>
        </w:rPr>
        <w:t xml:space="preserve">Administrateur Système</w:t>
      </w:r>
      <w:r>
        <w:rPr>
          <w:color w:val="334155"/>
          <w:sz w:val="22"/>
          <w:szCs w:val="22"/>
        </w:rPr>
        <w:t xml:space="preserve">, la rend consultable (rejoint le périmètre de l'EPIC « Administration Système », issue #30).</w:t>
      </w:r>
    </w:p>
    <w:p>
      <w:pPr>
        <w:spacing w:after="160" w:line="300"/>
        <w:jc w:val="both"/>
      </w:pPr>
      <w:r>
        <w:rPr>
          <w:color w:val="334155"/>
          <w:sz w:val="22"/>
          <w:szCs w:val="22"/>
        </w:rPr>
        <w:t xml:space="preserve">Chaque opération, quel que soit son chemin d'accès, reste tracée dans le journal d'audit (cf. modélisation de la base de données) — la traçabilité ne dépend donc pas de la discipline de chaque écran à la déclencher explicitement.</w:t>
      </w:r>
    </w:p>
    <w:p>
      <w:pPr>
        <w:pStyle w:val="Heading1"/>
        <w:pBdr>
          <w:bottom w:val="single" w:color="2563EB" w:sz="8" w:space="6"/>
        </w:pBdr>
        <w:spacing w:after="200" w:before="420"/>
      </w:pPr>
      <w:r>
        <w:rPr>
          <w:b/>
          <w:bCs/>
          <w:color w:val="2563EB"/>
          <w:sz w:val="30"/>
          <w:szCs w:val="30"/>
        </w:rPr>
        <w:t xml:space="preserve">5.  </w:t>
      </w:r>
      <w:r>
        <w:rPr>
          <w:b/>
          <w:bCs/>
          <w:color w:val="1E3A5F"/>
          <w:sz w:val="30"/>
          <w:szCs w:val="30"/>
        </w:rPr>
        <w:t xml:space="preserve">Environnements et déploiement</w:t>
      </w:r>
    </w:p>
    <w:p>
      <w:pPr>
        <w:spacing w:after="160" w:line="300"/>
        <w:jc w:val="both"/>
      </w:pPr>
      <w:r>
        <w:rPr>
          <w:color w:val="334155"/>
          <w:sz w:val="22"/>
          <w:szCs w:val="22"/>
        </w:rPr>
        <w:t xml:space="preserve">Deux environnements complètement indépendants, chacun avec son propre projet Supabase : </w:t>
      </w:r>
      <w:r>
        <w:rPr>
          <w:b/>
          <w:bCs/>
          <w:color w:val="334155"/>
          <w:sz w:val="22"/>
          <w:szCs w:val="22"/>
        </w:rPr>
        <w:t xml:space="preserve">DEV/STAGING</w:t>
      </w:r>
      <w:r>
        <w:rPr>
          <w:color w:val="334155"/>
          <w:sz w:val="22"/>
          <w:szCs w:val="22"/>
        </w:rPr>
        <w:t xml:space="preserve"> pour le développement et les tests, et </w:t>
      </w:r>
      <w:r>
        <w:rPr>
          <w:b/>
          <w:bCs/>
          <w:color w:val="334155"/>
          <w:sz w:val="22"/>
          <w:szCs w:val="22"/>
        </w:rPr>
        <w:t xml:space="preserve">PROD</w:t>
      </w:r>
      <w:r>
        <w:rPr>
          <w:color w:val="334155"/>
          <w:sz w:val="22"/>
          <w:szCs w:val="22"/>
        </w:rPr>
        <w:t xml:space="preserve"> pour les établissements réels. Chaque environnement correspond à une branche du code (staging / main) et à un environnement Vercel (Preview / Production) — le développement se fait sur staging, et la mise en production se déclenche en alignant main dessus, à la demande.</w:t>
      </w:r>
    </w:p>
    <w:p>
      <w:pPr>
        <w:spacing w:after="160" w:line="300"/>
        <w:jc w:val="both"/>
      </w:pPr>
      <w:r>
        <w:rPr>
          <w:b/>
          <w:bCs/>
          <w:color w:val="334155"/>
          <w:sz w:val="22"/>
          <w:szCs w:val="22"/>
        </w:rPr>
        <w:t xml:space="preserve">Sauvegarde et rafraîchissement de STAGING</w:t>
      </w:r>
      <w:r>
        <w:rPr>
          <w:color w:val="334155"/>
          <w:sz w:val="22"/>
          <w:szCs w:val="22"/>
        </w:rPr>
        <w:t xml:space="preserve"> : une même opération quotidienne, programmée sur un serveur externe, sert deux besoins à la fois — elle sauvegarde la base de production, et cette même sauvegarde (anonymisée : les données personnelles réelles ne sortent jamais telles quelles de la production) vient rafraîchir l'environnement DEV/STAGING, pour développer et reproduire des anomalies sur des données réalistes. Chaque rafraîchissement réussi prouve, de fait, que la sauvegarde est restaurable.</w:t>
      </w:r>
    </w:p>
    <w:p>
      <w:pPr>
        <w:spacing w:after="160" w:line="300"/>
        <w:jc w:val="both"/>
      </w:pPr>
      <w:r>
        <w:rPr>
          <w:b/>
          <w:bCs/>
          <w:color w:val="334155"/>
          <w:sz w:val="22"/>
          <w:szCs w:val="22"/>
        </w:rPr>
        <w:t xml:space="preserve">Mise en production</w:t>
      </w:r>
      <w:r>
        <w:rPr>
          <w:color w:val="334155"/>
          <w:sz w:val="22"/>
          <w:szCs w:val="22"/>
        </w:rPr>
        <w:t xml:space="preserve"> : le code et la base de données sont mis à jour ensemble, sans exigence forte de continuité de service. Un seul point de vigilance a été retenu : la base doit toujours être mise à jour avant le nouveau code, jamais l'inverse.</w:t>
      </w:r>
    </w:p>
    <w:p>
      <w:pPr>
        <w:pBdr>
          <w:bottom w:val="single" w:color="CBD5E1" w:sz="6" w:space="1"/>
        </w:pBdr>
        <w:spacing w:after="300" w:before="120"/>
      </w:pPr>
    </w:p>
    <w:p>
      <w:pPr>
        <w:shd w:fill="1E3A5F" w:val="clear"/>
        <w:spacing w:after="400" w:before="500"/>
        <w:jc w:val="left"/>
      </w:pPr>
      <w:r>
        <w:rPr>
          <w:b/>
          <w:bCs/>
          <w:color w:val="FFFFFF"/>
          <w:sz w:val="30"/>
          <w:szCs w:val="30"/>
        </w:rPr>
        <w:t xml:space="preserve">  ANNEXES</w:t>
      </w:r>
    </w:p>
    <w:p>
      <w:pPr>
        <w:pStyle w:val="Heading1"/>
        <w:pBdr>
          <w:bottom w:val="single" w:color="2563EB" w:sz="8" w:space="6"/>
        </w:pBdr>
        <w:spacing w:after="200" w:before="420"/>
      </w:pPr>
      <w:r>
        <w:rPr>
          <w:b/>
          <w:bCs/>
          <w:color w:val="1E3A5F"/>
          <w:sz w:val="30"/>
          <w:szCs w:val="30"/>
        </w:rPr>
        <w:t xml:space="preserve">Fonctionnalités envisagées mais non encore traitées</w:t>
      </w:r>
    </w:p>
    <w:p>
      <w:pPr>
        <w:spacing w:after="160" w:line="300"/>
        <w:jc w:val="both"/>
      </w:pPr>
      <w:r>
        <w:rPr>
          <w:color w:val="334155"/>
          <w:sz w:val="22"/>
          <w:szCs w:val="22"/>
        </w:rPr>
        <w:t xml:space="preserve">Ces besoins ont été identifiés mais nécessitent d'être précisés avant développement :</w:t>
      </w:r>
    </w:p>
    <w:p>
      <w:pPr>
        <w:pStyle w:val="ListParagraph"/>
        <w:numPr>
          <w:ilvl w:val="0"/>
          <w:numId w:val="2"/>
        </w:numPr>
        <w:spacing w:after="100" w:line="290"/>
        <w:jc w:val="both"/>
      </w:pPr>
      <w:r>
        <w:rPr>
          <w:b/>
          <w:bCs/>
          <w:color w:val="334155"/>
          <w:sz w:val="22"/>
          <w:szCs w:val="22"/>
        </w:rPr>
        <w:t xml:space="preserve">Menu d'export</w:t>
      </w:r>
      <w:r>
        <w:rPr>
          <w:color w:val="334155"/>
          <w:sz w:val="22"/>
          <w:szCs w:val="22"/>
        </w:rPr>
        <w:t xml:space="preserve"> depuis la vue Planning (contenu, formats et périmètre des données exportées à définir).</w:t>
      </w:r>
    </w:p>
    <w:p>
      <w:pPr>
        <w:pStyle w:val="ListParagraph"/>
        <w:numPr>
          <w:ilvl w:val="0"/>
          <w:numId w:val="2"/>
        </w:numPr>
        <w:spacing w:after="100" w:line="290"/>
        <w:jc w:val="both"/>
      </w:pPr>
      <w:r>
        <w:rPr>
          <w:b/>
          <w:bCs/>
          <w:color w:val="334155"/>
          <w:sz w:val="22"/>
          <w:szCs w:val="22"/>
        </w:rPr>
        <w:t xml:space="preserve">Verrouillage visuel des jours passés</w:t>
      </w:r>
      <w:r>
        <w:rPr>
          <w:color w:val="334155"/>
          <w:sz w:val="22"/>
          <w:szCs w:val="22"/>
        </w:rPr>
        <w:t xml:space="preserve"> dans la grille Planning.</w:t>
      </w:r>
    </w:p>
    <w:p>
      <w:pPr>
        <w:pStyle w:val="ListParagraph"/>
        <w:numPr>
          <w:ilvl w:val="0"/>
          <w:numId w:val="2"/>
        </w:numPr>
        <w:spacing w:after="100" w:line="290"/>
        <w:jc w:val="both"/>
      </w:pPr>
      <w:r>
        <w:rPr>
          <w:b/>
          <w:bCs/>
          <w:color w:val="334155"/>
          <w:sz w:val="22"/>
          <w:szCs w:val="22"/>
        </w:rPr>
        <w:t xml:space="preserve">Adaptation de la grille Planning aux écrans mobiles.</w:t>
      </w:r>
    </w:p>
    <w:p>
      <w:pPr>
        <w:pStyle w:val="ListParagraph"/>
        <w:numPr>
          <w:ilvl w:val="0"/>
          <w:numId w:val="2"/>
        </w:numPr>
        <w:spacing w:after="100" w:line="290"/>
        <w:jc w:val="both"/>
      </w:pPr>
      <w:r>
        <w:rPr>
          <w:b/>
          <w:bCs/>
          <w:color w:val="334155"/>
          <w:sz w:val="22"/>
          <w:szCs w:val="22"/>
        </w:rPr>
        <w:t xml:space="preserve">Plusieurs établissements indépendants</w:t>
      </w:r>
      <w:r>
        <w:rPr>
          <w:color w:val="334155"/>
          <w:sz w:val="22"/>
          <w:szCs w:val="22"/>
        </w:rPr>
        <w:t xml:space="preserve"> : au-delà de l'écran d'identité (nom/logo), la séparation complète des données et des utilisateurs entre établissements distincts reste à mettre en œuvre.</w:t>
      </w:r>
    </w:p>
    <w:p>
      <w:pPr>
        <w:pStyle w:val="ListParagraph"/>
        <w:numPr>
          <w:ilvl w:val="0"/>
          <w:numId w:val="2"/>
        </w:numPr>
        <w:spacing w:after="100" w:line="290"/>
        <w:jc w:val="both"/>
      </w:pPr>
      <w:r>
        <w:rPr>
          <w:b/>
          <w:bCs/>
          <w:color w:val="334155"/>
          <w:sz w:val="22"/>
          <w:szCs w:val="22"/>
        </w:rPr>
        <w:t xml:space="preserve">Export PDF téléchargeable</w:t>
      </w:r>
      <w:r>
        <w:rPr>
          <w:color w:val="334155"/>
          <w:sz w:val="22"/>
          <w:szCs w:val="22"/>
        </w:rPr>
        <w:t xml:space="preserve"> de la vue Émargement (au-delà de l'impression navigateur déjà disponible).</w:t>
      </w:r>
    </w:p>
    <w:p>
      <w:pPr>
        <w:pStyle w:val="Heading1"/>
        <w:pBdr>
          <w:bottom w:val="single" w:color="2563EB" w:sz="8" w:space="6"/>
        </w:pBdr>
        <w:spacing w:after="200" w:before="420"/>
      </w:pPr>
      <w:r>
        <w:rPr>
          <w:b/>
          <w:bCs/>
          <w:color w:val="1E3A5F"/>
          <w:sz w:val="30"/>
          <w:szCs w:val="30"/>
        </w:rPr>
        <w:t xml:space="preserve">Questions fonctionnelles restant à trancher</w:t>
      </w:r>
    </w:p>
    <w:p>
      <w:pPr>
        <w:pStyle w:val="ListParagraph"/>
        <w:numPr>
          <w:ilvl w:val="0"/>
          <w:numId w:val="2"/>
        </w:numPr>
        <w:spacing w:after="100" w:line="290"/>
        <w:jc w:val="both"/>
      </w:pPr>
      <w:r>
        <w:rPr>
          <w:color w:val="334155"/>
          <w:sz w:val="22"/>
          <w:szCs w:val="22"/>
        </w:rPr>
        <w:t xml:space="preserve">Les droits exacts d'un compte Utilisateur (au-delà des trois types de compte désormais fixés : Administrateur Système / Administrateur / Utilisateur) restent à détailler écran par écran.</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120"/>
      <w:jc w:val="right"/>
    </w:pPr>
    <w:r>
      <w:rPr>
        <w:i/>
        <w:iCs/>
        <w:color w:val="64748B"/>
        <w:sz w:val="16"/>
        <w:szCs w:val="16"/>
      </w:rPr>
      <w:t xml:space="preserve">Synthèse fonctionnelle — Planning EHPAD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rPr>
        <w:color w:val="2563EB"/>
      </w:rPr>
    </w:lvl>
    <w:lvl w:ilvl="1" w15:tentative="1">
      <w:start w:val="1"/>
      <w:numFmt w:val="bullet"/>
      <w:lvlText w:val="–"/>
      <w:lvlJc w:val="left"/>
      <w:pPr>
        <w:ind w:left="1008" w:hanging="259"/>
      </w:pPr>
      <w:rPr>
        <w:color w:val="6474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2026-09-22T09:33:50.152Z</dcterms:created>
  <dcterms:modified xsi:type="dcterms:W3CDTF">2026-09-22T09:33:50.153Z</dcterms:modified>
</cp:coreProperties>
</file>

<file path=docProps/custom.xml><?xml version="1.0" encoding="utf-8"?>
<Properties xmlns="http://schemas.openxmlformats.org/officeDocument/2006/custom-properties" xmlns:vt="http://schemas.openxmlformats.org/officeDocument/2006/docPropsVTypes"/>
</file>