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13E91C26" w:rsidR="00627F5C" w:rsidRPr="0041162A" w:rsidRDefault="00030C5D" w:rsidP="00155C55">
      <w:pPr>
        <w:contextualSpacing/>
      </w:pPr>
      <w:r w:rsidRPr="00200C83">
        <w:t>In</w:t>
      </w:r>
      <w:r w:rsidR="00464C82">
        <w:t xml:space="preserve"> polygynous</w:t>
      </w:r>
      <w:r w:rsidRPr="00200C83">
        <w:t xml:space="preserve"> lek mating systems, </w:t>
      </w:r>
      <w:r w:rsidR="00441EED">
        <w:t xml:space="preserve">males perform </w:t>
      </w:r>
      <w:r w:rsidR="001F185E">
        <w:t xml:space="preserve">elaborate </w:t>
      </w:r>
      <w:r w:rsidR="00441EED">
        <w:t>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 xml:space="preserve">Masius </w:t>
      </w:r>
      <w:proofErr w:type="spellStart"/>
      <w:r w:rsidRPr="00200C83">
        <w:rPr>
          <w:i/>
        </w:rPr>
        <w:t>chrysopterus</w:t>
      </w:r>
      <w:proofErr w:type="spellEnd"/>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In addition to the simple 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 xml:space="preserve">Using </w:t>
      </w:r>
      <w:proofErr w:type="spellStart"/>
      <w:r w:rsidR="005033D7">
        <w:t>Jaro</w:t>
      </w:r>
      <w:proofErr w:type="spellEnd"/>
      <w:r w:rsidR="005033D7">
        <w:t xml:space="preserve"> string distance, a method from record-linkage theory, we find tha</w:t>
      </w:r>
      <w:r w:rsidR="0037189A">
        <w:t xml:space="preserve">t </w:t>
      </w:r>
      <w:r w:rsidR="00E27E69">
        <w:t>COP displays were the most uniform and that displays</w:t>
      </w:r>
      <w:r w:rsidR="00D8390D">
        <w:t xml:space="preserve"> varied more </w:t>
      </w:r>
      <w:r w:rsidR="0058310E">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9444D9">
        <w:t>s</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6441C3A7" w14:textId="2C688EFB" w:rsidR="00030C5D" w:rsidRDefault="00030C5D" w:rsidP="00155C55">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241F2DF" w14:textId="77777777" w:rsidR="00177864" w:rsidRPr="00177864" w:rsidRDefault="00177864" w:rsidP="00177864"/>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proofErr w:type="gramStart"/>
      <w:r w:rsidR="007C65C7">
        <w:t>tend</w:t>
      </w:r>
      <w:proofErr w:type="gramEnd"/>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xml:space="preserve">, and/or </w:t>
      </w:r>
      <w:proofErr w:type="gramStart"/>
      <w:r w:rsidR="00CD6254">
        <w:t>orange-red</w:t>
      </w:r>
      <w:proofErr w:type="gramEnd"/>
      <w:r w:rsidR="0018051B">
        <w:t xml:space="preserve">) plumages </w:t>
      </w:r>
      <w:r w:rsidR="004D62B1">
        <w:t>over multiple years (</w:t>
      </w:r>
      <w:r w:rsidR="00EC422D" w:rsidRPr="00C01D5D">
        <w:rPr>
          <w:highlight w:val="yellow"/>
        </w:rPr>
        <w:t xml:space="preserve">Taylor et al. 2020, </w:t>
      </w:r>
      <w:proofErr w:type="spellStart"/>
      <w:r w:rsidR="004D62B1" w:rsidRPr="00C01D5D">
        <w:rPr>
          <w:highlight w:val="yellow"/>
        </w:rPr>
        <w:t>Schaedler</w:t>
      </w:r>
      <w:proofErr w:type="spellEnd"/>
      <w:r w:rsidR="004D62B1" w:rsidRPr="00C01D5D">
        <w:rPr>
          <w:highlight w:val="yellow"/>
        </w:rPr>
        <w:t xml:space="preserve">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5DF6C57A"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categories: </w:t>
      </w:r>
      <w:r w:rsidR="00ED12D8">
        <w:t>SOLO</w:t>
      </w:r>
      <w:r w:rsidR="00CC26DE">
        <w:t xml:space="preserve"> (n</w:t>
      </w:r>
      <w:r w:rsidR="008A4F1D">
        <w:t xml:space="preserve"> </w:t>
      </w:r>
      <w:r w:rsidR="00CC26DE">
        <w:t>=</w:t>
      </w:r>
      <w:r w:rsidR="008A4F1D">
        <w:t xml:space="preserve"> </w:t>
      </w:r>
      <w:r w:rsidR="00E54EEF" w:rsidRPr="0024587F">
        <w:rPr>
          <w:highlight w:val="cyan"/>
        </w:rPr>
        <w:t>251</w:t>
      </w:r>
      <w:r w:rsidR="00CC26DE">
        <w:t>)</w:t>
      </w:r>
      <w:r w:rsidR="00ED12D8">
        <w:t>, AUDI</w:t>
      </w:r>
      <w:r w:rsidR="00CC26DE">
        <w:t xml:space="preserve"> (n</w:t>
      </w:r>
      <w:r w:rsidR="008A4F1D">
        <w:t xml:space="preserve"> </w:t>
      </w:r>
      <w:r w:rsidR="00CC26DE">
        <w:t>=</w:t>
      </w:r>
      <w:r w:rsidR="008A4F1D">
        <w:t xml:space="preserve"> </w:t>
      </w:r>
      <w:r w:rsidR="00FA18DD" w:rsidRPr="0024587F">
        <w:rPr>
          <w:highlight w:val="cyan"/>
        </w:rPr>
        <w:t>8</w:t>
      </w:r>
      <w:r w:rsidR="00B922AB" w:rsidRPr="0024587F">
        <w:rPr>
          <w:highlight w:val="cyan"/>
        </w:rPr>
        <w:t>9</w:t>
      </w:r>
      <w:r w:rsidR="00CC26DE">
        <w:t>)</w:t>
      </w:r>
      <w:r w:rsidR="00ED12D8">
        <w:t>, and COP</w:t>
      </w:r>
      <w:r w:rsidR="00CC26DE">
        <w:t xml:space="preserve"> (n</w:t>
      </w:r>
      <w:r w:rsidR="008A4F1D">
        <w:t xml:space="preserve"> </w:t>
      </w:r>
      <w:r w:rsidR="00CC26DE">
        <w:t>=</w:t>
      </w:r>
      <w:r w:rsidR="008A4F1D">
        <w:t xml:space="preserve"> </w:t>
      </w:r>
      <w:r w:rsidR="00CC26DE" w:rsidRPr="0024587F">
        <w:rPr>
          <w:highlight w:val="cyan"/>
        </w:rPr>
        <w:t>1</w:t>
      </w:r>
      <w:r w:rsidR="0024587F" w:rsidRPr="0024587F">
        <w:rPr>
          <w:highlight w:val="cyan"/>
        </w:rPr>
        <w:t>3</w:t>
      </w:r>
      <w:r w:rsidR="00CC26DE">
        <w:t>)</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w:t>
      </w:r>
      <w:r w:rsidR="007B2841">
        <w:lastRenderedPageBreak/>
        <w:t xml:space="preserve">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 xml:space="preserve">For our main analyses, we ended COP displays </w:t>
      </w:r>
      <w:proofErr w:type="gramStart"/>
      <w:r w:rsidR="00802179">
        <w:t>at</w:t>
      </w:r>
      <w:r w:rsidR="008A5455">
        <w:t xml:space="preserve"> the moment</w:t>
      </w:r>
      <w:proofErr w:type="gramEnd"/>
      <w:r w:rsidR="008A5455">
        <w:t xml:space="preserve">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3F5590B3"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181E26">
        <w:t>combined</w:t>
      </w:r>
      <w:r w:rsidR="0041676E">
        <w:t xml:space="preserve"> paired elements into </w:t>
      </w:r>
      <w:r w:rsidR="00746DA5">
        <w:t>single</w:t>
      </w:r>
      <w:r w:rsidR="0041676E">
        <w:t xml:space="preserve"> behaviors (e.g., “</w:t>
      </w:r>
      <w:r w:rsidR="0039172F">
        <w:t>Side-to-side bow Left</w:t>
      </w:r>
      <w:r w:rsidR="0041676E">
        <w:t>” and “</w:t>
      </w:r>
      <w:r w:rsidR="0039172F">
        <w:t>Side-to-side bow Right</w:t>
      </w:r>
      <w:r w:rsidR="00EE4B62">
        <w:t>” become “</w:t>
      </w:r>
      <w:r w:rsidR="00455F00">
        <w:t xml:space="preserve">Side-to-side </w:t>
      </w:r>
      <w:r w:rsidR="003C0C8A">
        <w:t>b</w:t>
      </w:r>
      <w:r w:rsidR="00455F00">
        <w:t>ow</w:t>
      </w:r>
      <w:r w:rsidR="00EE4B62">
        <w:t>”</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215D8B8E" w:rsidR="004E7E1F" w:rsidRDefault="004E7E1F" w:rsidP="00A12618">
      <w:r>
        <w:t xml:space="preserve">We calculated </w:t>
      </w:r>
      <w:r w:rsidR="00AA4E34">
        <w:t>three</w:t>
      </w:r>
      <w:r>
        <w:t xml:space="preserve"> simple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t>umber of unique elements</w:t>
      </w:r>
      <w:r w:rsidR="00AA4E34">
        <w:t>. Display duration was calculated from the raw data</w:t>
      </w:r>
      <w:r w:rsidR="003D5AE9">
        <w:t xml:space="preserve">, </w:t>
      </w:r>
      <w:r w:rsidR="00A94254">
        <w:t xml:space="preserve">and thus </w:t>
      </w:r>
      <w:r w:rsidR="003D5AE9">
        <w:t>included the timing of some elements excluded from other behavioral analyses</w:t>
      </w:r>
      <w:r w:rsidR="00A94254">
        <w:t xml:space="preserve">. </w:t>
      </w:r>
    </w:p>
    <w:p w14:paraId="43C6F853" w14:textId="015E59EA" w:rsidR="00E02D51" w:rsidRDefault="00A34D78" w:rsidP="000F7056">
      <w:pPr>
        <w:ind w:firstLine="720"/>
        <w:contextualSpacing/>
      </w:pPr>
      <w:r>
        <w:t xml:space="preserve">We compared </w:t>
      </w:r>
      <w:r w:rsidR="0050326D">
        <w:t xml:space="preserve">repertoire complexity measures across 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across SOLO, AUDI, and COP </w:t>
      </w:r>
      <w:r w:rsidR="005C152D">
        <w:t>displays</w:t>
      </w:r>
      <w:r w:rsidR="000F7056">
        <w:t xml:space="preserve">. </w:t>
      </w:r>
      <w:r w:rsidR="00E02D51" w:rsidRPr="00D8696A">
        <w:t>We then compared the distribution of the random replicate metrics to the values calculated using the full sample.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42E3A942"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to a randomized distribution of both entropy and compressibility metrics (10,000 random sets of </w:t>
      </w:r>
      <w:r w:rsidR="001509F8" w:rsidRPr="00ED0EBC">
        <w:rPr>
          <w:highlight w:val="cyan"/>
        </w:rPr>
        <w:t>1</w:t>
      </w:r>
      <w:r w:rsidR="00AA5AF1" w:rsidRPr="00ED0EBC">
        <w:rPr>
          <w:highlight w:val="cyan"/>
        </w:rPr>
        <w:t>3</w:t>
      </w:r>
      <w:r w:rsidR="001509F8">
        <w:t xml:space="preserve"> displays, drawn with no replacement)</w:t>
      </w:r>
      <w:r w:rsidR="0038406F">
        <w:t>.</w:t>
      </w:r>
    </w:p>
    <w:p w14:paraId="514D97FE" w14:textId="794EE050" w:rsidR="003563B2" w:rsidRDefault="00C7424D" w:rsidP="00044952">
      <w:pPr>
        <w:ind w:firstLine="720"/>
        <w:contextualSpacing/>
      </w:pPr>
      <w:r>
        <w:t xml:space="preserve">Entropy and compressibility are fundamentally </w:t>
      </w:r>
      <w:r w:rsidR="006E4A8A">
        <w:t xml:space="preserve">intertwined metrics. </w:t>
      </w:r>
      <w:r w:rsidR="003054FA">
        <w:t>In theory, high 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displays </w:t>
      </w:r>
      <w:r w:rsidR="00686AE7">
        <w:t>diverging from</w:t>
      </w:r>
      <w:r w:rsidR="00044952">
        <w:t xml:space="preserve"> that correlation.</w:t>
      </w:r>
    </w:p>
    <w:p w14:paraId="02D41519" w14:textId="77777777" w:rsidR="00DF1163" w:rsidRPr="00DF1163" w:rsidRDefault="00DF1163" w:rsidP="00A12618"/>
    <w:p w14:paraId="145134FF" w14:textId="3B09C82B" w:rsidR="00022276" w:rsidRDefault="00A12618" w:rsidP="00650C4A">
      <w:pPr>
        <w:rPr>
          <w:i/>
          <w:iCs/>
        </w:rPr>
      </w:pPr>
      <w:r>
        <w:rPr>
          <w:i/>
          <w:iCs/>
        </w:rPr>
        <w:t>Context vs. individual variation</w:t>
      </w:r>
      <w:bookmarkEnd w:id="12"/>
    </w:p>
    <w:p w14:paraId="1960E742" w14:textId="1C5D63E0" w:rsidR="0010060A" w:rsidRDefault="00650C4A" w:rsidP="000F32FB">
      <w:r>
        <w:t xml:space="preserve">We </w:t>
      </w:r>
      <w:r w:rsidR="00DC637D">
        <w:t>asked whether displays varied more in terms of context (</w:t>
      </w:r>
      <w:r w:rsidR="00E22B2A">
        <w:t xml:space="preserve">i.e., </w:t>
      </w:r>
      <w:r w:rsidR="00DC637D">
        <w:t xml:space="preserve">SOLO </w:t>
      </w:r>
      <w:r w:rsidR="00DC637D">
        <w:rPr>
          <w:i/>
          <w:iCs/>
        </w:rPr>
        <w:t xml:space="preserve">vs. </w:t>
      </w:r>
      <w:r w:rsidR="00DC637D">
        <w:t xml:space="preserve">AUDI </w:t>
      </w:r>
      <w:r w:rsidR="00DC637D">
        <w:rPr>
          <w:i/>
          <w:iCs/>
        </w:rPr>
        <w:t>vs.</w:t>
      </w:r>
      <w:r w:rsidR="00DC637D">
        <w:t xml:space="preserve"> COP) or </w:t>
      </w:r>
      <w:r w:rsidR="00D50483">
        <w:t xml:space="preserve">in terms of male individuality </w:t>
      </w:r>
      <w:r w:rsidR="003D6559">
        <w:t xml:space="preserve">using </w:t>
      </w:r>
      <w:proofErr w:type="spellStart"/>
      <w:r w:rsidR="003D6559">
        <w:t>Jaro</w:t>
      </w:r>
      <w:proofErr w:type="spellEnd"/>
      <w:r w:rsidR="003D6559">
        <w:t xml:space="preserve"> string distances.</w:t>
      </w:r>
      <w:r w:rsidR="00FF338F">
        <w:t xml:space="preserve"> </w:t>
      </w:r>
      <w:proofErr w:type="spellStart"/>
      <w:r w:rsidR="008D1375" w:rsidRPr="00D8696A">
        <w:rPr>
          <w:shd w:val="clear" w:color="auto" w:fill="FFFFFF"/>
        </w:rPr>
        <w:t>Jaro</w:t>
      </w:r>
      <w:proofErr w:type="spellEnd"/>
      <w:r w:rsidR="008D1375" w:rsidRPr="00D8696A">
        <w:rPr>
          <w:shd w:val="clear" w:color="auto" w:fill="FFFFFF"/>
        </w:rPr>
        <w:t xml:space="preserve"> (</w:t>
      </w:r>
      <w:r w:rsidR="008D1375" w:rsidRPr="009C5730">
        <w:rPr>
          <w:highlight w:val="yellow"/>
          <w:shd w:val="clear" w:color="auto" w:fill="FFFFFF"/>
        </w:rPr>
        <w:t>1989</w:t>
      </w:r>
      <w:r w:rsidR="008D1375" w:rsidRPr="00D8696A">
        <w:rPr>
          <w:shd w:val="clear" w:color="auto" w:fill="FFFFFF"/>
        </w:rPr>
        <w:t xml:space="preserve">) developed a simple but elegant </w:t>
      </w:r>
      <w:r w:rsidR="00F9798D">
        <w:rPr>
          <w:shd w:val="clear" w:color="auto" w:fill="FFFFFF"/>
        </w:rPr>
        <w:t>method</w:t>
      </w:r>
      <w:r w:rsidR="008D1375" w:rsidRPr="00D8696A">
        <w:rPr>
          <w:shd w:val="clear" w:color="auto" w:fill="FFFFFF"/>
        </w:rPr>
        <w:t xml:space="preserve"> for matching census records from disparate sources. The algorithm </w:t>
      </w:r>
      <w:r w:rsidR="00804C09">
        <w:rPr>
          <w:shd w:val="clear" w:color="auto" w:fill="FFFFFF"/>
        </w:rPr>
        <w:t>analyse</w:t>
      </w:r>
      <w:r w:rsidR="008D1375" w:rsidRPr="00D8696A">
        <w:rPr>
          <w:shd w:val="clear" w:color="auto" w:fill="FFFFFF"/>
        </w:rPr>
        <w:t xml:space="preserve">s the number </w:t>
      </w:r>
      <w:r w:rsidR="008D1375" w:rsidRPr="00D8696A">
        <w:t xml:space="preserve">of transpositions </w:t>
      </w:r>
      <w:r w:rsidR="008D1375" w:rsidRPr="00D8696A">
        <w:lastRenderedPageBreak/>
        <w:t xml:space="preserve">and mismatches </w:t>
      </w:r>
      <w:r w:rsidR="008D1375" w:rsidRPr="00D8696A">
        <w:rPr>
          <w:shd w:val="clear" w:color="auto" w:fill="FFFFFF"/>
        </w:rPr>
        <w:t xml:space="preserve">between two </w:t>
      </w:r>
      <w:r w:rsidR="00E76987" w:rsidRPr="00D8696A">
        <w:rPr>
          <w:shd w:val="clear" w:color="auto" w:fill="FFFFFF"/>
        </w:rPr>
        <w:t>strings and</w:t>
      </w:r>
      <w:r w:rsidR="008D1375" w:rsidRPr="00D8696A">
        <w:rPr>
          <w:shd w:val="clear" w:color="auto" w:fill="FFFFFF"/>
        </w:rPr>
        <w:t xml:space="preserve"> assigns a distance between 0 (no matches) and 1 (complete match).</w:t>
      </w:r>
      <w:r w:rsidR="008D1375" w:rsidRPr="00D8696A">
        <w:t xml:space="preserve"> </w:t>
      </w:r>
    </w:p>
    <w:p w14:paraId="21C24527" w14:textId="7D5657C8" w:rsidR="00BA6502" w:rsidRPr="00C62D82" w:rsidRDefault="00B40CF6" w:rsidP="00B9643D">
      <w:pPr>
        <w:ind w:firstLine="720"/>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proofErr w:type="spellStart"/>
      <w:r>
        <w:rPr>
          <w:shd w:val="clear" w:color="auto" w:fill="FFFFFF"/>
        </w:rPr>
        <w:t>Jaro</w:t>
      </w:r>
      <w:proofErr w:type="spellEnd"/>
      <w:r>
        <w:rPr>
          <w:shd w:val="clear" w:color="auto" w:fill="FFFFFF"/>
        </w:rPr>
        <w:t xml:space="preserve"> distanc</w:t>
      </w:r>
      <w:r w:rsidR="007E0C86">
        <w:rPr>
          <w:shd w:val="clear" w:color="auto" w:fill="FFFFFF"/>
        </w:rPr>
        <w:t>e among</w:t>
      </w:r>
      <w:r>
        <w:rPr>
          <w:shd w:val="clear" w:color="auto" w:fill="FFFFFF"/>
        </w:rPr>
        <w:t xml:space="preserve"> all display </w:t>
      </w:r>
      <w:r w:rsidR="007E0C86">
        <w:rPr>
          <w:shd w:val="clear" w:color="auto" w:fill="FFFFFF"/>
        </w:rPr>
        <w:t xml:space="preserve">strings </w:t>
      </w:r>
      <w:r w:rsidR="00991D3A">
        <w:rPr>
          <w:shd w:val="clear" w:color="auto" w:fill="FFFFFF"/>
        </w:rPr>
        <w:t xml:space="preserve">using R package </w:t>
      </w:r>
      <w:proofErr w:type="spellStart"/>
      <w:r w:rsidR="004A2494">
        <w:rPr>
          <w:i/>
          <w:iCs/>
          <w:shd w:val="clear" w:color="auto" w:fill="FFFFFF"/>
        </w:rPr>
        <w:t>stringdist</w:t>
      </w:r>
      <w:proofErr w:type="spellEnd"/>
      <w:r w:rsidR="004A2494">
        <w:rPr>
          <w:i/>
          <w:iCs/>
          <w:shd w:val="clear" w:color="auto" w:fill="FFFFFF"/>
        </w:rPr>
        <w:t xml:space="preserve">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62059A">
        <w:rPr>
          <w:shd w:val="clear" w:color="auto" w:fill="FFFFFF"/>
        </w:rPr>
        <w:t>For each context, we</w:t>
      </w:r>
      <w:r w:rsidR="00B61422">
        <w:rPr>
          <w:shd w:val="clear" w:color="auto" w:fill="FFFFFF"/>
        </w:rPr>
        <w:t xml:space="preserve"> then </w:t>
      </w:r>
      <w:r w:rsidR="007E61B6">
        <w:rPr>
          <w:shd w:val="clear" w:color="auto" w:fill="FFFFFF"/>
        </w:rPr>
        <w:t xml:space="preserve">compared </w:t>
      </w:r>
      <w:r w:rsidR="00926C41">
        <w:rPr>
          <w:shd w:val="clear" w:color="auto" w:fill="FFFFFF"/>
        </w:rPr>
        <w:t>three</w:t>
      </w:r>
      <w:r w:rsidR="007E61B6">
        <w:rPr>
          <w:shd w:val="clear" w:color="auto" w:fill="FFFFFF"/>
        </w:rPr>
        <w:t xml:space="preserve"> sets of </w:t>
      </w:r>
      <w:r w:rsidR="00C62D82">
        <w:rPr>
          <w:shd w:val="clear" w:color="auto" w:fill="FFFFFF"/>
        </w:rPr>
        <w:t xml:space="preserve">distances: </w:t>
      </w:r>
      <w:r w:rsidR="00926C41">
        <w:rPr>
          <w:shd w:val="clear" w:color="auto" w:fill="FFFFFF"/>
        </w:rPr>
        <w:t xml:space="preserve">same-context/same-individual, same-context/different-individual, different-context/same-individual. Note we </w:t>
      </w:r>
      <w:r w:rsidR="00E8445E">
        <w:rPr>
          <w:shd w:val="clear" w:color="auto" w:fill="FFFFFF"/>
        </w:rPr>
        <w:t xml:space="preserve">could only </w:t>
      </w:r>
      <w:r w:rsidR="00113ABB">
        <w:rPr>
          <w:shd w:val="clear" w:color="auto" w:fill="FFFFFF"/>
        </w:rPr>
        <w:t>use displays from</w:t>
      </w:r>
      <w:r w:rsidR="00926C41">
        <w:rPr>
          <w:shd w:val="clear" w:color="auto" w:fill="FFFFFF"/>
        </w:rPr>
        <w:t xml:space="preserve"> identified males for these comparisons.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1C708F5B" w14:textId="77777777" w:rsidR="00FD3B09" w:rsidRDefault="00A02A20" w:rsidP="00C5256C">
      <w:pPr>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w:t>
      </w:r>
      <w:proofErr w:type="gramStart"/>
      <w:r w:rsidR="00E3226E" w:rsidRPr="006679F3">
        <w:rPr>
          <w:highlight w:val="cyan"/>
        </w:rPr>
        <w:t>Jun</w:t>
      </w:r>
      <w:proofErr w:type="gramEnd"/>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p>
    <w:p w14:paraId="62188D85" w14:textId="44908862" w:rsidR="00135466" w:rsidRDefault="00F03259" w:rsidP="00C5256C">
      <w:pPr>
        <w:contextualSpacing/>
      </w:pPr>
      <w:r>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w:t>
      </w:r>
      <w:r w:rsidR="00201F1B" w:rsidRPr="00540E29">
        <w:rPr>
          <w:highlight w:val="green"/>
        </w:rPr>
        <w:t>4</w:t>
      </w:r>
      <w:r w:rsidR="00201F1B">
        <w:t>).</w:t>
      </w:r>
    </w:p>
    <w:p w14:paraId="4B25EFE9" w14:textId="27388A2E" w:rsidR="004A0DB9" w:rsidRDefault="005D118B" w:rsidP="00C5256C">
      <w:pPr>
        <w:contextualSpacing/>
      </w:pPr>
      <w:r>
        <w:tab/>
      </w:r>
      <w:proofErr w:type="gramStart"/>
      <w:r w:rsidR="007A2DA3">
        <w:t>By definition, every</w:t>
      </w:r>
      <w:proofErr w:type="gramEnd"/>
      <w:r w:rsidR="007A2DA3">
        <w:t xml:space="preserve"> display in our dataset featured at least one Audible log-approach dive and Side-to-side bow</w:t>
      </w:r>
      <w:r w:rsidR="002D046A">
        <w:t xml:space="preserve">. </w:t>
      </w:r>
      <w:commentRangeStart w:id="16"/>
      <w:r w:rsidR="00D53F51">
        <w:t xml:space="preserve">Representation </w:t>
      </w:r>
      <w:commentRangeEnd w:id="16"/>
      <w:r w:rsidR="003D6B9F">
        <w:rPr>
          <w:rStyle w:val="CommentReference"/>
        </w:rPr>
        <w:commentReference w:id="16"/>
      </w:r>
      <w:r w:rsidR="00D53F51">
        <w:t>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C5256C">
      <w:pPr>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w:t>
      </w:r>
      <w:proofErr w:type="gramStart"/>
      <w:r w:rsidR="004F1BFA">
        <w:t>randomly-drawn</w:t>
      </w:r>
      <w:proofErr w:type="gramEnd"/>
      <w:r w:rsidR="004F1BFA">
        <w:t xml:space="preserve">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C5256C">
      <w:pPr>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lastRenderedPageBreak/>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xml:space="preserve">, our choice of compression </w:t>
      </w:r>
      <w:r w:rsidR="00426039">
        <w:t>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52451CE9"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323F869D" w14:textId="6DCE248D" w:rsidR="00BE67B3" w:rsidRDefault="00D30E92" w:rsidP="00C5256C">
      <w:pPr>
        <w:contextualSpacing/>
        <w:rPr>
          <w:i/>
          <w:iCs/>
        </w:rPr>
      </w:pPr>
      <w:r>
        <w:rPr>
          <w:i/>
          <w:iCs/>
        </w:rPr>
        <w:t>Context vs. individual variation</w:t>
      </w:r>
    </w:p>
    <w:p w14:paraId="185D343B" w14:textId="0E515EB7" w:rsidR="0086568F" w:rsidRDefault="0086568F" w:rsidP="00C5256C">
      <w:pPr>
        <w:contextualSpacing/>
        <w:rPr>
          <w:i/>
          <w:iCs/>
        </w:rPr>
      </w:pPr>
    </w:p>
    <w:p w14:paraId="62AB408F" w14:textId="0D274C28" w:rsidR="002953F8" w:rsidRDefault="002953F8" w:rsidP="00C5256C">
      <w:pPr>
        <w:contextualSpacing/>
        <w:rPr>
          <w:i/>
          <w:iCs/>
        </w:rPr>
      </w:pPr>
    </w:p>
    <w:p w14:paraId="37A15307" w14:textId="77777777" w:rsidR="002953F8" w:rsidRDefault="002953F8" w:rsidP="00C5256C">
      <w:pPr>
        <w:contextualSpacing/>
        <w:rPr>
          <w:i/>
          <w:iCs/>
        </w:rPr>
      </w:pPr>
    </w:p>
    <w:p w14:paraId="2518EC63" w14:textId="0D7E56C4" w:rsidR="003D0065" w:rsidRPr="003D0065" w:rsidRDefault="003D0065" w:rsidP="00C5256C">
      <w:pPr>
        <w:contextualSpacing/>
        <w:rPr>
          <w:b/>
          <w:bCs/>
        </w:rPr>
      </w:pPr>
      <w:r>
        <w:rPr>
          <w:b/>
          <w:bCs/>
        </w:rPr>
        <w:t>DISCUSSION</w:t>
      </w:r>
    </w:p>
    <w:p w14:paraId="1BF56ED4" w14:textId="042C5825" w:rsidR="00485947" w:rsidRPr="00485947" w:rsidRDefault="00485947" w:rsidP="00C5256C">
      <w:pPr>
        <w:contextualSpacing/>
        <w:rPr>
          <w:b/>
          <w:bCs/>
        </w:rPr>
      </w:pPr>
      <w:r>
        <w:rPr>
          <w:b/>
          <w:bCs/>
        </w:rPr>
        <w:t>LITERATURE CITED</w:t>
      </w:r>
    </w:p>
    <w:p w14:paraId="52156D68" w14:textId="77777777" w:rsidR="00C5256C" w:rsidRPr="00C5256C" w:rsidRDefault="00C5256C" w:rsidP="00C5256C">
      <w:pPr>
        <w:contextualSpacing/>
        <w:rPr>
          <w:i/>
          <w:iCs/>
        </w:rPr>
      </w:pPr>
    </w:p>
    <w:p w14:paraId="2C2FA3F4" w14:textId="28B51763" w:rsidR="00902C31" w:rsidRDefault="00902C31" w:rsidP="00155C55">
      <w:pPr>
        <w:ind w:left="1440"/>
        <w:contextualSpacing/>
      </w:pPr>
    </w:p>
    <w:p w14:paraId="2E60053D" w14:textId="77777777" w:rsidR="003C13B6" w:rsidRPr="003C13B6" w:rsidRDefault="003C13B6" w:rsidP="00155C55">
      <w:pPr>
        <w:contextualSpacing/>
        <w:rPr>
          <w:sz w:val="16"/>
          <w:szCs w:val="16"/>
        </w:rPr>
      </w:pPr>
    </w:p>
    <w:p w14:paraId="0DD2FEEE" w14:textId="77777777" w:rsidR="002824B7" w:rsidRPr="00D8696A" w:rsidRDefault="002824B7" w:rsidP="00155C55">
      <w:pPr>
        <w:ind w:left="360"/>
        <w:contextualSpacing/>
      </w:pPr>
    </w:p>
    <w:p w14:paraId="57655768" w14:textId="6D57A346" w:rsidR="00902C31" w:rsidRDefault="00902C31" w:rsidP="00155C55">
      <w:pPr>
        <w:ind w:left="1440"/>
        <w:contextualSpacing/>
      </w:pPr>
    </w:p>
    <w:p w14:paraId="65D724FE" w14:textId="77777777" w:rsidR="00902C31" w:rsidRDefault="00902C31" w:rsidP="00155C55">
      <w:pPr>
        <w:contextualSpacing/>
      </w:pPr>
    </w:p>
    <w:p w14:paraId="36F5E03A" w14:textId="77777777" w:rsidR="00902C31" w:rsidRDefault="00902C31" w:rsidP="00155C55">
      <w:pPr>
        <w:contextualSpacing/>
      </w:pPr>
    </w:p>
    <w:p w14:paraId="5D7D333A" w14:textId="619BEE14" w:rsidR="00902C31" w:rsidRDefault="00902C31" w:rsidP="00155C55">
      <w:pPr>
        <w:ind w:left="900"/>
        <w:contextualSpacing/>
      </w:pPr>
    </w:p>
    <w:p w14:paraId="7FEE1E12" w14:textId="77777777" w:rsidR="008B318C" w:rsidRDefault="008B318C" w:rsidP="00155C55">
      <w:pPr>
        <w:ind w:left="900"/>
        <w:contextualSpacing/>
      </w:pPr>
    </w:p>
    <w:p w14:paraId="0F3A5B79" w14:textId="77777777" w:rsidR="004D2729" w:rsidRPr="00BB277C" w:rsidRDefault="004D2729" w:rsidP="00155C55">
      <w:pPr>
        <w:ind w:left="907"/>
        <w:contextualSpacing/>
        <w:rPr>
          <w:sz w:val="16"/>
          <w:szCs w:val="16"/>
        </w:rPr>
      </w:pPr>
    </w:p>
    <w:p w14:paraId="042439B7" w14:textId="76012B0F" w:rsidR="00030C5D" w:rsidRDefault="00030C5D" w:rsidP="00155C55">
      <w:pPr>
        <w:ind w:firstLine="360"/>
        <w:contextualSpacing/>
      </w:pPr>
      <w:r w:rsidRPr="00AB2B57">
        <w:t>Figure</w:t>
      </w:r>
      <w:r>
        <w:t xml:space="preserve"> 5</w:t>
      </w:r>
      <w:r w:rsidRPr="00AB2B57">
        <w:t xml:space="preserve"> </w:t>
      </w:r>
      <w:r w:rsidR="004D2729">
        <w:t>shows</w:t>
      </w:r>
      <w:r w:rsidRPr="00AB2B57">
        <w:t xml:space="preserve"> </w:t>
      </w:r>
      <w:r w:rsidR="00D80EE6">
        <w:t xml:space="preserve">expected </w:t>
      </w:r>
      <w:proofErr w:type="spellStart"/>
      <w:r w:rsidRPr="00AB2B57">
        <w:t>Jaro</w:t>
      </w:r>
      <w:proofErr w:type="spellEnd"/>
      <w:r w:rsidRPr="00AB2B57">
        <w:t xml:space="preserve">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proofErr w:type="spellStart"/>
      <w:r w:rsidR="00D80EE6">
        <w:t>Jaro</w:t>
      </w:r>
      <w:proofErr w:type="spellEnd"/>
      <w:r w:rsidR="00D80EE6">
        <w:t xml:space="preserve">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w:t>
      </w:r>
      <w:proofErr w:type="spellStart"/>
      <w:r w:rsidR="00D80EE6">
        <w:t>Jaro</w:t>
      </w:r>
      <w:proofErr w:type="spellEnd"/>
      <w:r w:rsidR="00D80EE6">
        <w:t xml:space="preserve">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 xml:space="preserve">The pooled Within- and Between Mal </w:t>
      </w:r>
      <w:proofErr w:type="spellStart"/>
      <w:r w:rsidR="009351EF">
        <w:t>Jaro</w:t>
      </w:r>
      <w:proofErr w:type="spellEnd"/>
      <w:r w:rsidR="009351EF">
        <w:t xml:space="preserve"> distances differed significantly from the pooled Within- and Between Cop </w:t>
      </w:r>
      <w:proofErr w:type="spellStart"/>
      <w:r w:rsidR="009351EF">
        <w:t>Jaro</w:t>
      </w:r>
      <w:proofErr w:type="spellEnd"/>
      <w:r w:rsidR="009351EF">
        <w:t xml:space="preserve"> distances (</w:t>
      </w:r>
      <w:r w:rsidR="009351EF" w:rsidRPr="005122C7">
        <w:rPr>
          <w:i/>
        </w:rPr>
        <w:t>t-test</w:t>
      </w:r>
      <w:r w:rsidR="00483036">
        <w:t>:</w:t>
      </w:r>
      <w:r w:rsidR="009351EF">
        <w:t xml:space="preserve"> </w:t>
      </w:r>
      <w:r w:rsidR="009351EF" w:rsidRPr="005122C7">
        <w:rPr>
          <w:i/>
        </w:rPr>
        <w:t>t</w:t>
      </w:r>
      <w:r w:rsidR="009351EF">
        <w:t xml:space="preserve"> = 17.24, </w:t>
      </w:r>
      <w:proofErr w:type="spellStart"/>
      <w:r w:rsidR="009351EF" w:rsidRPr="00483036">
        <w:rPr>
          <w:i/>
        </w:rPr>
        <w:t>df</w:t>
      </w:r>
      <w:proofErr w:type="spellEnd"/>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proofErr w:type="spellStart"/>
      <w:r w:rsidR="003F4E16">
        <w:t>Jaro</w:t>
      </w:r>
      <w:proofErr w:type="spellEnd"/>
      <w:r w:rsidR="003F4E16">
        <w:t xml:space="preserve">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w:t>
      </w:r>
      <w:proofErr w:type="spellStart"/>
      <w:r w:rsidR="00D80EE6">
        <w:t>Jaro</w:t>
      </w:r>
      <w:proofErr w:type="spellEnd"/>
      <w:r w:rsidR="00D80EE6">
        <w:t xml:space="preserve">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 xml:space="preserve">Differences between the </w:t>
      </w:r>
      <w:proofErr w:type="spellStart"/>
      <w:r w:rsidR="00C23235">
        <w:t>Jaro</w:t>
      </w:r>
      <w:proofErr w:type="spellEnd"/>
      <w:r w:rsidR="00C23235">
        <w:t xml:space="preserve"> distances across the three contexts (Mal, Fem, Cop) are shown in Fig. S</w:t>
      </w:r>
      <w:r w:rsidR="00951475">
        <w:t>2</w:t>
      </w:r>
      <w:r w:rsidR="00E60310">
        <w:t>.</w:t>
      </w:r>
      <w:r w:rsidR="00C23235">
        <w:t xml:space="preserve"> </w:t>
      </w:r>
    </w:p>
    <w:p w14:paraId="3122CCFE" w14:textId="010FB141" w:rsidR="00902C31" w:rsidRDefault="00D63D57" w:rsidP="00155C55">
      <w:pPr>
        <w:ind w:left="360"/>
        <w:contextualSpacing/>
      </w:pPr>
      <w:r>
        <w:lastRenderedPageBreak/>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155C55">
      <w:pPr>
        <w:ind w:left="720"/>
        <w:contextualSpacing/>
        <w:rPr>
          <w:sz w:val="16"/>
          <w:szCs w:val="16"/>
        </w:rPr>
      </w:pPr>
    </w:p>
    <w:p w14:paraId="302383FB" w14:textId="4D67781B" w:rsidR="00DC120C" w:rsidRDefault="00902C31" w:rsidP="00155C55">
      <w:pPr>
        <w:ind w:left="907"/>
        <w:contextualSpacing/>
      </w:pPr>
      <w:r w:rsidRPr="00D8696A">
        <w:t>Figure</w:t>
      </w:r>
      <w:r>
        <w:t xml:space="preserve"> 5</w:t>
      </w:r>
      <w:r w:rsidRPr="00D8696A">
        <w:t xml:space="preserve">. </w:t>
      </w:r>
      <w:r w:rsidR="00D80EE6">
        <w:t xml:space="preserve">Expected (left </w:t>
      </w:r>
      <w:r w:rsidR="00D96D95">
        <w:t>four bars</w:t>
      </w:r>
      <w:r w:rsidR="00D80EE6">
        <w:t xml:space="preserve">) </w:t>
      </w:r>
      <w:proofErr w:type="spellStart"/>
      <w:r w:rsidR="00D80EE6">
        <w:t>Jaro</w:t>
      </w:r>
      <w:proofErr w:type="spellEnd"/>
      <w:r w:rsidR="00D80EE6">
        <w:t xml:space="preserve"> string distance outcomes under the hypothesis that individual differences ("personalities") drive variation in display </w:t>
      </w:r>
      <w:proofErr w:type="spellStart"/>
      <w:r w:rsidR="004E5018">
        <w:t>behaviour</w:t>
      </w:r>
      <w:proofErr w:type="spellEnd"/>
      <w:r w:rsidR="00D80EE6">
        <w:t xml:space="preserve"> more than do contexts (Mal, Fem, Cop). If "personalities" matter</w:t>
      </w:r>
      <w:r w:rsidR="00E65D14">
        <w:t>ed</w:t>
      </w:r>
      <w:r w:rsidR="00D80EE6">
        <w:t xml:space="preserve"> most, we would expect a male's own displays to be </w:t>
      </w:r>
      <w:proofErr w:type="gramStart"/>
      <w:r w:rsidR="00D80EE6">
        <w:t>similar to</w:t>
      </w:r>
      <w:proofErr w:type="gramEnd"/>
      <w:r w:rsidR="00D80EE6">
        <w:t xml:space="preserve"> each other (short Within </w:t>
      </w:r>
      <w:proofErr w:type="spellStart"/>
      <w:r w:rsidR="00D80EE6">
        <w:t>Jaro</w:t>
      </w:r>
      <w:proofErr w:type="spellEnd"/>
      <w:r w:rsidR="00D80EE6">
        <w:t xml:space="preserve">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w:t>
      </w:r>
      <w:proofErr w:type="spellStart"/>
      <w:r w:rsidR="00D80EE6">
        <w:t>Jaro</w:t>
      </w:r>
      <w:proofErr w:type="spellEnd"/>
      <w:r w:rsidR="00D80EE6">
        <w:t xml:space="preserve">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w:t>
      </w:r>
      <w:proofErr w:type="gramStart"/>
      <w:r w:rsidR="00CD7629">
        <w:t>Likewise</w:t>
      </w:r>
      <w:proofErr w:type="gramEnd"/>
      <w:r w:rsidR="00CD7629">
        <w:t xml:space="preserv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 xml:space="preserve">sample size of Cop </w:t>
      </w:r>
      <w:proofErr w:type="spellStart"/>
      <w:r w:rsidR="00ED7F1F">
        <w:t>Jaro</w:t>
      </w:r>
      <w:proofErr w:type="spellEnd"/>
      <w:r w:rsidR="00ED7F1F">
        <w:t xml:space="preserve"> distances did not affect the conclusions</w:t>
      </w:r>
      <w:r w:rsidR="00D80EE6">
        <w:t>.</w:t>
      </w:r>
      <w:r w:rsidR="00332493">
        <w:t xml:space="preserve"> </w:t>
      </w:r>
    </w:p>
    <w:p w14:paraId="0D195ECC" w14:textId="77777777" w:rsidR="00240FCA" w:rsidRPr="00D8696A" w:rsidRDefault="00240FCA" w:rsidP="00155C55">
      <w:pPr>
        <w:autoSpaceDE w:val="0"/>
        <w:autoSpaceDN w:val="0"/>
        <w:adjustRightInd w:val="0"/>
        <w:contextualSpacing/>
        <w:rPr>
          <w:sz w:val="20"/>
          <w:szCs w:val="18"/>
        </w:rPr>
      </w:pPr>
      <w:bookmarkStart w:id="18" w:name="_Toc41391834"/>
    </w:p>
    <w:p w14:paraId="56DBB6A7" w14:textId="2C231D24" w:rsidR="00934E81" w:rsidRPr="002A78F2" w:rsidRDefault="00934E81" w:rsidP="00155C55">
      <w:pPr>
        <w:pStyle w:val="Heading2"/>
        <w:contextualSpacing/>
        <w:rPr>
          <w:rFonts w:ascii="Times New Roman" w:hAnsi="Times New Roman" w:cs="Times New Roman"/>
          <w:b/>
          <w:color w:val="auto"/>
          <w:sz w:val="24"/>
          <w:szCs w:val="24"/>
        </w:rPr>
      </w:pPr>
      <w:bookmarkStart w:id="19" w:name="_Toc41391835"/>
      <w:bookmarkEnd w:id="18"/>
      <w:r w:rsidRPr="002A78F2">
        <w:rPr>
          <w:rFonts w:ascii="Times New Roman" w:hAnsi="Times New Roman" w:cs="Times New Roman"/>
          <w:b/>
          <w:color w:val="auto"/>
          <w:sz w:val="24"/>
          <w:szCs w:val="24"/>
        </w:rPr>
        <w:t>DISCUSSION</w:t>
      </w:r>
    </w:p>
    <w:p w14:paraId="45FB0733" w14:textId="71C3E5AB"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155C55">
      <w:pPr>
        <w:pStyle w:val="Heading2"/>
        <w:keepNext w:val="0"/>
        <w:keepLines w:val="0"/>
        <w:snapToGrid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We assessed the comparative simplicity of the displays by analyzing them as networks (Fig. 1). Network density (proportion of all possible edges </w:t>
      </w:r>
      <w:proofErr w:type="gramStart"/>
      <w:r w:rsidRPr="00934E81">
        <w:rPr>
          <w:rFonts w:ascii="Times New Roman" w:hAnsi="Times New Roman" w:cs="Times New Roman"/>
          <w:color w:val="auto"/>
          <w:sz w:val="24"/>
          <w:szCs w:val="24"/>
        </w:rPr>
        <w:t>actually occurring</w:t>
      </w:r>
      <w:proofErr w:type="gramEnd"/>
      <w:r w:rsidRPr="00934E81">
        <w:rPr>
          <w:rFonts w:ascii="Times New Roman" w:hAnsi="Times New Roman" w:cs="Times New Roman"/>
          <w:color w:val="auto"/>
          <w:sz w:val="24"/>
          <w:szCs w:val="24"/>
        </w:rPr>
        <w:t xml:space="preserve">) decreased from Mal to Fem to Cop, meaning that Mal bouts (density = 0.8) had many different kinds of transitions between display elements, while Cop bouts, especially (density = 0.27), had relatively few types of transitions. Low </w:t>
      </w:r>
      <w:r w:rsidRPr="00934E81">
        <w:rPr>
          <w:rFonts w:ascii="Times New Roman" w:hAnsi="Times New Roman" w:cs="Times New Roman"/>
          <w:color w:val="auto"/>
          <w:sz w:val="24"/>
          <w:szCs w:val="24"/>
        </w:rPr>
        <w:lastRenderedPageBreak/>
        <w:t xml:space="preserve">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w:t>
      </w:r>
      <w:proofErr w:type="gramStart"/>
      <w:r w:rsidRPr="00934E81">
        <w:rPr>
          <w:rFonts w:ascii="Times New Roman" w:hAnsi="Times New Roman" w:cs="Times New Roman"/>
          <w:color w:val="auto"/>
          <w:sz w:val="24"/>
          <w:szCs w:val="24"/>
        </w:rPr>
        <w:t>particular display</w:t>
      </w:r>
      <w:proofErr w:type="gramEnd"/>
      <w:r w:rsidRPr="00934E81">
        <w:rPr>
          <w:rFonts w:ascii="Times New Roman" w:hAnsi="Times New Roman" w:cs="Times New Roman"/>
          <w:color w:val="auto"/>
          <w:sz w:val="24"/>
          <w:szCs w:val="24"/>
        </w:rPr>
        <w:t xml:space="preserve">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w:t>
      </w:r>
      <w:proofErr w:type="spellStart"/>
      <w:r w:rsidRPr="00934E81">
        <w:rPr>
          <w:rFonts w:ascii="Times New Roman" w:hAnsi="Times New Roman" w:cs="Times New Roman"/>
          <w:color w:val="auto"/>
          <w:sz w:val="24"/>
          <w:szCs w:val="24"/>
        </w:rPr>
        <w:t>Piqueria</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Vielliard</w:t>
      </w:r>
      <w:proofErr w:type="spellEnd"/>
      <w:r w:rsidRPr="00934E81">
        <w:rPr>
          <w:rFonts w:ascii="Times New Roman" w:hAnsi="Times New Roman" w:cs="Times New Roman"/>
          <w:color w:val="auto"/>
          <w:sz w:val="24"/>
          <w:szCs w:val="24"/>
        </w:rPr>
        <w:t xml:space="preserve">, 2000; </w:t>
      </w:r>
      <w:proofErr w:type="spellStart"/>
      <w:r w:rsidRPr="00934E81">
        <w:rPr>
          <w:rFonts w:ascii="Times New Roman" w:hAnsi="Times New Roman" w:cs="Times New Roman"/>
          <w:color w:val="auto"/>
          <w:sz w:val="24"/>
          <w:szCs w:val="24"/>
        </w:rPr>
        <w:t>Palmero</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Espelosín</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Laiolo</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Illera</w:t>
      </w:r>
      <w:proofErr w:type="spellEnd"/>
      <w:r w:rsidRPr="00934E81">
        <w:rPr>
          <w:rFonts w:ascii="Times New Roman" w:hAnsi="Times New Roman" w:cs="Times New Roman"/>
          <w:color w:val="auto"/>
          <w:sz w:val="24"/>
          <w:szCs w:val="24"/>
        </w:rPr>
        <w:t xml:space="preserve">,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proofErr w:type="spellStart"/>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proofErr w:type="spellEnd"/>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0.38</w:t>
      </w:r>
      <w:proofErr w:type="gramStart"/>
      <w:r w:rsidRPr="00934E81">
        <w:rPr>
          <w:rFonts w:ascii="Times New Roman" w:hAnsi="Times New Roman" w:cs="Times New Roman"/>
          <w:color w:val="auto"/>
          <w:sz w:val="24"/>
          <w:szCs w:val="24"/>
        </w:rPr>
        <w:t>)</w:t>
      </w:r>
      <w:proofErr w:type="gramEnd"/>
      <w:r w:rsidRPr="00934E81">
        <w:rPr>
          <w:rFonts w:ascii="Times New Roman" w:hAnsi="Times New Roman" w:cs="Times New Roman"/>
          <w:color w:val="auto"/>
          <w:sz w:val="24"/>
          <w:szCs w:val="24"/>
        </w:rPr>
        <w:t xml:space="preserve">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female present or </w:t>
      </w:r>
      <w:proofErr w:type="gramStart"/>
      <w:r w:rsidRPr="00934E81">
        <w:rPr>
          <w:rFonts w:ascii="Times New Roman" w:hAnsi="Times New Roman" w:cs="Times New Roman"/>
          <w:color w:val="auto"/>
          <w:sz w:val="24"/>
          <w:szCs w:val="24"/>
        </w:rPr>
        <w:t>not, and</w:t>
      </w:r>
      <w:proofErr w:type="gramEnd"/>
      <w:r w:rsidRPr="00934E81">
        <w:rPr>
          <w:rFonts w:ascii="Times New Roman" w:hAnsi="Times New Roman" w:cs="Times New Roman"/>
          <w:color w:val="auto"/>
          <w:sz w:val="24"/>
          <w:szCs w:val="24"/>
        </w:rPr>
        <w:t xml:space="preserve">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 xml:space="preserve">Mimus </w:t>
      </w:r>
      <w:proofErr w:type="spellStart"/>
      <w:r w:rsidRPr="00D87644">
        <w:rPr>
          <w:rFonts w:ascii="Times New Roman" w:hAnsi="Times New Roman" w:cs="Times New Roman"/>
          <w:i/>
          <w:color w:val="auto"/>
          <w:sz w:val="24"/>
          <w:szCs w:val="24"/>
        </w:rPr>
        <w:t>gilvus</w:t>
      </w:r>
      <w:proofErr w:type="spellEnd"/>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w:t>
      </w:r>
      <w:proofErr w:type="spellStart"/>
      <w:r w:rsidR="00E44CAB">
        <w:rPr>
          <w:rFonts w:ascii="Times New Roman" w:hAnsi="Times New Roman" w:cs="Times New Roman"/>
          <w:color w:val="auto"/>
          <w:sz w:val="24"/>
          <w:szCs w:val="24"/>
        </w:rPr>
        <w:t>Perinot</w:t>
      </w:r>
      <w:proofErr w:type="spellEnd"/>
      <w:r w:rsidR="00E44CAB">
        <w:rPr>
          <w:rFonts w:ascii="Times New Roman" w:hAnsi="Times New Roman" w:cs="Times New Roman"/>
          <w:color w:val="auto"/>
          <w:sz w:val="24"/>
          <w:szCs w:val="24"/>
        </w:rPr>
        <w:t xml:space="preserve"> &amp; </w:t>
      </w:r>
      <w:proofErr w:type="spellStart"/>
      <w:r w:rsidR="00E44CAB">
        <w:rPr>
          <w:rFonts w:ascii="Times New Roman" w:hAnsi="Times New Roman" w:cs="Times New Roman"/>
          <w:color w:val="auto"/>
          <w:sz w:val="24"/>
          <w:szCs w:val="24"/>
        </w:rPr>
        <w:t>Fusani</w:t>
      </w:r>
      <w:proofErr w:type="spellEnd"/>
      <w:r w:rsidR="00E44CAB">
        <w:rPr>
          <w:rFonts w:ascii="Times New Roman" w:hAnsi="Times New Roman" w:cs="Times New Roman"/>
          <w:color w:val="auto"/>
          <w:sz w:val="24"/>
          <w:szCs w:val="24"/>
        </w:rPr>
        <w:t xml:space="preserve"> (2020) found that male </w:t>
      </w:r>
      <w:proofErr w:type="spellStart"/>
      <w:r w:rsidR="00E44CAB" w:rsidRPr="00E44CAB">
        <w:rPr>
          <w:rFonts w:ascii="Times New Roman" w:hAnsi="Times New Roman" w:cs="Times New Roman"/>
          <w:i/>
          <w:color w:val="auto"/>
          <w:sz w:val="24"/>
          <w:szCs w:val="24"/>
        </w:rPr>
        <w:t>Manacus</w:t>
      </w:r>
      <w:proofErr w:type="spellEnd"/>
      <w:r w:rsidR="00E44CAB" w:rsidRPr="00E44CAB">
        <w:rPr>
          <w:rFonts w:ascii="Times New Roman" w:hAnsi="Times New Roman" w:cs="Times New Roman"/>
          <w:i/>
          <w:color w:val="auto"/>
          <w:sz w:val="24"/>
          <w:szCs w:val="24"/>
        </w:rPr>
        <w:t xml:space="preserve"> </w:t>
      </w:r>
      <w:proofErr w:type="spellStart"/>
      <w:r w:rsidR="00E44CAB" w:rsidRPr="00E44CAB">
        <w:rPr>
          <w:rFonts w:ascii="Times New Roman" w:hAnsi="Times New Roman" w:cs="Times New Roman"/>
          <w:i/>
          <w:color w:val="auto"/>
          <w:sz w:val="24"/>
          <w:szCs w:val="24"/>
        </w:rPr>
        <w:t>vitellinus</w:t>
      </w:r>
      <w:proofErr w:type="spellEnd"/>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proofErr w:type="spellStart"/>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s</w:t>
      </w:r>
      <w:proofErr w:type="spellEnd"/>
      <w:r w:rsidR="00934E81" w:rsidRPr="00934E81">
        <w:rPr>
          <w:rFonts w:ascii="Times New Roman" w:hAnsi="Times New Roman" w:cs="Times New Roman"/>
          <w:color w:val="auto"/>
          <w:sz w:val="24"/>
          <w:szCs w:val="24"/>
        </w:rPr>
        <w:t xml:space="preserve">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w:t>
      </w:r>
      <w:proofErr w:type="gramStart"/>
      <w:r w:rsidRPr="00934E81">
        <w:rPr>
          <w:rFonts w:ascii="Times New Roman" w:hAnsi="Times New Roman" w:cs="Times New Roman"/>
          <w:color w:val="auto"/>
          <w:sz w:val="24"/>
          <w:szCs w:val="24"/>
        </w:rPr>
        <w:t>fairly long-distance</w:t>
      </w:r>
      <w:proofErr w:type="gramEnd"/>
      <w:r w:rsidRPr="00934E81">
        <w:rPr>
          <w:rFonts w:ascii="Times New Roman" w:hAnsi="Times New Roman" w:cs="Times New Roman"/>
          <w:color w:val="auto"/>
          <w:sz w:val="24"/>
          <w:szCs w:val="24"/>
        </w:rPr>
        <w:t xml:space="preserv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the "</w:t>
      </w:r>
      <w:proofErr w:type="spellStart"/>
      <w:r w:rsidRPr="00934E81">
        <w:rPr>
          <w:rFonts w:ascii="Times New Roman" w:hAnsi="Times New Roman" w:cs="Times New Roman"/>
          <w:color w:val="auto"/>
          <w:sz w:val="24"/>
          <w:szCs w:val="24"/>
        </w:rPr>
        <w:t>nurrt</w:t>
      </w:r>
      <w:proofErr w:type="spellEnd"/>
      <w:r w:rsidRPr="00934E81">
        <w:rPr>
          <w:rFonts w:ascii="Times New Roman" w:hAnsi="Times New Roman" w:cs="Times New Roman"/>
          <w:color w:val="auto"/>
          <w:sz w:val="24"/>
          <w:szCs w:val="24"/>
        </w:rPr>
        <w:t xml:space="preserve">" advertising call is of surprisingly low-amplitude and is performed at a low rate overall, even at the height of display activity in Nov and Dec (2.2 </w:t>
      </w:r>
      <w:proofErr w:type="spellStart"/>
      <w:r w:rsidRPr="00934E81">
        <w:rPr>
          <w:rFonts w:ascii="Times New Roman" w:hAnsi="Times New Roman" w:cs="Times New Roman"/>
          <w:color w:val="auto"/>
          <w:sz w:val="24"/>
          <w:szCs w:val="24"/>
        </w:rPr>
        <w:t>nurrts</w:t>
      </w:r>
      <w:proofErr w:type="spellEnd"/>
      <w:r w:rsidRPr="00934E81">
        <w:rPr>
          <w:rFonts w:ascii="Times New Roman" w:hAnsi="Times New Roman" w:cs="Times New Roman"/>
          <w:color w:val="auto"/>
          <w:sz w:val="24"/>
          <w:szCs w:val="24"/>
        </w:rPr>
        <w:t xml:space="preserve">/min at the two most active display logs) and within-bout vocalizations averaged only 4.2/min, reasonably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proofErr w:type="spellStart"/>
      <w:r w:rsidRPr="00D87644">
        <w:rPr>
          <w:rFonts w:ascii="Times New Roman" w:hAnsi="Times New Roman" w:cs="Times New Roman"/>
          <w:i/>
          <w:color w:val="auto"/>
          <w:sz w:val="24"/>
          <w:szCs w:val="24"/>
        </w:rPr>
        <w:t>toledos</w:t>
      </w:r>
      <w:proofErr w:type="spellEnd"/>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lastRenderedPageBreak/>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w:t>
      </w:r>
      <w:proofErr w:type="spellStart"/>
      <w:r w:rsidRPr="00934E81">
        <w:rPr>
          <w:rFonts w:ascii="Times New Roman" w:hAnsi="Times New Roman" w:cs="Times New Roman"/>
          <w:color w:val="auto"/>
          <w:sz w:val="24"/>
          <w:szCs w:val="24"/>
        </w:rPr>
        <w:t>toledos</w:t>
      </w:r>
      <w:proofErr w:type="spellEnd"/>
      <w:r w:rsidRPr="00934E81">
        <w:rPr>
          <w:rFonts w:ascii="Times New Roman" w:hAnsi="Times New Roman" w:cs="Times New Roman"/>
          <w:color w:val="auto"/>
          <w:sz w:val="24"/>
          <w:szCs w:val="24"/>
        </w:rPr>
        <w:t xml:space="preserve">/min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 xml:space="preserve">Bradbury, 1981; </w:t>
      </w:r>
      <w:proofErr w:type="spellStart"/>
      <w:r w:rsidR="006753D5" w:rsidRPr="006753D5">
        <w:rPr>
          <w:rFonts w:ascii="Times New Roman" w:hAnsi="Times New Roman" w:cs="Times New Roman"/>
          <w:color w:val="auto"/>
          <w:sz w:val="24"/>
          <w:szCs w:val="24"/>
        </w:rPr>
        <w:t>Beehler</w:t>
      </w:r>
      <w:proofErr w:type="spellEnd"/>
      <w:r w:rsidR="006753D5" w:rsidRPr="006753D5">
        <w:rPr>
          <w:rFonts w:ascii="Times New Roman" w:hAnsi="Times New Roman" w:cs="Times New Roman"/>
          <w:color w:val="auto"/>
          <w:sz w:val="24"/>
          <w:szCs w:val="24"/>
        </w:rPr>
        <w:t xml:space="preserve">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w:t>
      </w:r>
      <w:proofErr w:type="gramStart"/>
      <w:r w:rsidRPr="00934E81">
        <w:rPr>
          <w:rFonts w:ascii="Times New Roman" w:hAnsi="Times New Roman" w:cs="Times New Roman"/>
          <w:color w:val="auto"/>
          <w:sz w:val="24"/>
          <w:szCs w:val="24"/>
        </w:rPr>
        <w:t>suppose,</w:t>
      </w:r>
      <w:proofErr w:type="gramEnd"/>
      <w:r w:rsidRPr="00934E81">
        <w:rPr>
          <w:rFonts w:ascii="Times New Roman" w:hAnsi="Times New Roman" w:cs="Times New Roman"/>
          <w:color w:val="auto"/>
          <w:sz w:val="24"/>
          <w:szCs w:val="24"/>
        </w:rPr>
        <w:t xml:space="preserv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depended on the relative position of the female. When she was below him on the log, he would perform Bows until she </w:t>
      </w:r>
      <w:proofErr w:type="gramStart"/>
      <w:r w:rsidRPr="00934E81">
        <w:rPr>
          <w:rFonts w:ascii="Times New Roman" w:hAnsi="Times New Roman" w:cs="Times New Roman"/>
          <w:color w:val="auto"/>
          <w:sz w:val="24"/>
          <w:szCs w:val="24"/>
        </w:rPr>
        <w:t>moved</w:t>
      </w:r>
      <w:proofErr w:type="gramEnd"/>
      <w:r w:rsidRPr="00934E81">
        <w:rPr>
          <w:rFonts w:ascii="Times New Roman" w:hAnsi="Times New Roman" w:cs="Times New Roman"/>
          <w:color w:val="auto"/>
          <w:sz w:val="24"/>
          <w:szCs w:val="24"/>
        </w:rPr>
        <w:t xml:space="preserve">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and frequent male flights to and from the display log. Although it was not the primary focus of this paper, we found that female as well as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w:t>
      </w:r>
      <w:proofErr w:type="gramStart"/>
      <w:r w:rsidRPr="00934E81">
        <w:rPr>
          <w:rFonts w:ascii="Times New Roman" w:hAnsi="Times New Roman" w:cs="Times New Roman"/>
          <w:color w:val="auto"/>
          <w:sz w:val="24"/>
          <w:szCs w:val="24"/>
        </w:rPr>
        <w:t>copulations, and</w:t>
      </w:r>
      <w:proofErr w:type="gramEnd"/>
      <w:r w:rsidRPr="00934E81">
        <w:rPr>
          <w:rFonts w:ascii="Times New Roman" w:hAnsi="Times New Roman" w:cs="Times New Roman"/>
          <w:color w:val="auto"/>
          <w:sz w:val="24"/>
          <w:szCs w:val="24"/>
        </w:rPr>
        <w:t xml:space="preserve">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w:t>
      </w:r>
      <w:proofErr w:type="spellStart"/>
      <w:r w:rsidRPr="00934E81">
        <w:rPr>
          <w:rFonts w:ascii="Times New Roman" w:hAnsi="Times New Roman" w:cs="Times New Roman"/>
          <w:color w:val="auto"/>
          <w:sz w:val="24"/>
          <w:szCs w:val="24"/>
        </w:rPr>
        <w:t>Uriarte</w:t>
      </w:r>
      <w:proofErr w:type="spellEnd"/>
      <w:r w:rsidRPr="00934E81">
        <w:rPr>
          <w:rFonts w:ascii="Times New Roman" w:hAnsi="Times New Roman" w:cs="Times New Roman"/>
          <w:color w:val="auto"/>
          <w:sz w:val="24"/>
          <w:szCs w:val="24"/>
        </w:rPr>
        <w:t xml:space="preserv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lastRenderedPageBreak/>
        <w:t>Masius</w:t>
      </w:r>
      <w:r w:rsidRPr="00934E81">
        <w:rPr>
          <w:rFonts w:ascii="Times New Roman" w:hAnsi="Times New Roman" w:cs="Times New Roman"/>
          <w:color w:val="auto"/>
          <w:sz w:val="24"/>
          <w:szCs w:val="24"/>
        </w:rPr>
        <w:t xml:space="preserve">. Instead, we conclude that context (presence or absence of a female), and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w:t>
      </w:r>
      <w:proofErr w:type="spellStart"/>
      <w:r w:rsidRPr="00934E81">
        <w:rPr>
          <w:rFonts w:ascii="Times New Roman" w:hAnsi="Times New Roman" w:cs="Times New Roman"/>
          <w:color w:val="auto"/>
          <w:sz w:val="24"/>
          <w:szCs w:val="24"/>
        </w:rPr>
        <w:t>unpatterned</w:t>
      </w:r>
      <w:proofErr w:type="spellEnd"/>
      <w:r w:rsidRPr="00934E81">
        <w:rPr>
          <w:rFonts w:ascii="Times New Roman" w:hAnsi="Times New Roman" w:cs="Times New Roman"/>
          <w:color w:val="auto"/>
          <w:sz w:val="24"/>
          <w:szCs w:val="24"/>
        </w:rPr>
        <w:t>,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proofErr w:type="spellStart"/>
      <w:r w:rsidRPr="00934E81">
        <w:rPr>
          <w:rFonts w:ascii="Times New Roman" w:hAnsi="Times New Roman" w:cs="Times New Roman"/>
          <w:i/>
          <w:color w:val="auto"/>
          <w:sz w:val="24"/>
          <w:szCs w:val="24"/>
        </w:rPr>
        <w:t>toledo</w:t>
      </w:r>
      <w:proofErr w:type="spellEnd"/>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155C55">
      <w:pPr>
        <w:contextualSpacing/>
        <w:rPr>
          <w:rFonts w:eastAsiaTheme="majorEastAsia"/>
          <w:i/>
        </w:rPr>
      </w:pPr>
      <w:r w:rsidRPr="002579E7">
        <w:rPr>
          <w:rFonts w:eastAsiaTheme="majorEastAsia"/>
          <w:i/>
        </w:rPr>
        <w:t>C</w:t>
      </w:r>
      <w:r>
        <w:rPr>
          <w:rFonts w:eastAsiaTheme="majorEastAsia"/>
          <w:i/>
        </w:rPr>
        <w:t>onclusions</w:t>
      </w:r>
    </w:p>
    <w:p w14:paraId="19DA0D95" w14:textId="37895142" w:rsidR="002579E7" w:rsidRDefault="002579E7"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 xml:space="preserve">We have provided a worked example of the utility of network, lossless compression and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For example, the methods used here could be applied to the frame of reference, in terms of motor activity (</w:t>
      </w:r>
      <w:proofErr w:type="spellStart"/>
      <w:r w:rsidRPr="00934E81">
        <w:rPr>
          <w:rFonts w:ascii="Times New Roman" w:hAnsi="Times New Roman" w:cs="Times New Roman"/>
          <w:color w:val="auto"/>
          <w:sz w:val="24"/>
          <w:szCs w:val="24"/>
        </w:rPr>
        <w:t>sensu</w:t>
      </w:r>
      <w:proofErr w:type="spellEnd"/>
      <w:r w:rsidRPr="00934E81">
        <w:rPr>
          <w:rFonts w:ascii="Times New Roman" w:hAnsi="Times New Roman" w:cs="Times New Roman"/>
          <w:color w:val="auto"/>
          <w:sz w:val="24"/>
          <w:szCs w:val="24"/>
        </w:rPr>
        <w:t xml:space="preserve">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w:t>
      </w:r>
      <w:proofErr w:type="spellStart"/>
      <w:r w:rsidRPr="00934E81">
        <w:rPr>
          <w:rFonts w:ascii="Times New Roman" w:hAnsi="Times New Roman" w:cs="Times New Roman"/>
          <w:color w:val="auto"/>
          <w:sz w:val="24"/>
          <w:szCs w:val="24"/>
        </w:rPr>
        <w:t>Vehrencamp</w:t>
      </w:r>
      <w:proofErr w:type="spellEnd"/>
      <w:r w:rsidRPr="00934E81">
        <w:rPr>
          <w:rFonts w:ascii="Times New Roman" w:hAnsi="Times New Roman" w:cs="Times New Roman"/>
          <w:color w:val="auto"/>
          <w:sz w:val="24"/>
          <w:szCs w:val="24"/>
        </w:rPr>
        <w:t xml:space="preserve">, 2014; Patricelli &amp; </w:t>
      </w:r>
      <w:proofErr w:type="spellStart"/>
      <w:r w:rsidRPr="00934E81">
        <w:rPr>
          <w:rFonts w:ascii="Times New Roman" w:hAnsi="Times New Roman" w:cs="Times New Roman"/>
          <w:color w:val="auto"/>
          <w:sz w:val="24"/>
          <w:szCs w:val="24"/>
        </w:rPr>
        <w:t>Hebets</w:t>
      </w:r>
      <w:proofErr w:type="spellEnd"/>
      <w:r w:rsidRPr="00934E81">
        <w:rPr>
          <w:rFonts w:ascii="Times New Roman" w:hAnsi="Times New Roman" w:cs="Times New Roman"/>
          <w:color w:val="auto"/>
          <w:sz w:val="24"/>
          <w:szCs w:val="24"/>
        </w:rPr>
        <w:t xml:space="preserve">, 2016) are not important to many other aspects of the </w:t>
      </w:r>
      <w:proofErr w:type="spellStart"/>
      <w:r>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29FF2B57" w14:textId="70B95D15" w:rsidR="00537655" w:rsidRDefault="00537655" w:rsidP="00537655"/>
    <w:p w14:paraId="1234D369" w14:textId="7510614F" w:rsidR="00537655" w:rsidRDefault="00537655" w:rsidP="00537655"/>
    <w:p w14:paraId="37F333E4" w14:textId="77777777" w:rsidR="00537655" w:rsidRDefault="00537655" w:rsidP="00537655">
      <w:pPr>
        <w:contextualSpacing/>
      </w:pPr>
    </w:p>
    <w:p w14:paraId="081A7A10" w14:textId="77777777" w:rsidR="00537655" w:rsidRDefault="00537655" w:rsidP="00537655">
      <w:pPr>
        <w:contextualSpacing/>
        <w:rPr>
          <w:b/>
          <w:bCs/>
        </w:rPr>
      </w:pPr>
      <w:r>
        <w:rPr>
          <w:b/>
          <w:bCs/>
        </w:rPr>
        <w:t xml:space="preserve">DATA AVAILABILITY </w:t>
      </w:r>
    </w:p>
    <w:p w14:paraId="7AC96F2E" w14:textId="77777777" w:rsidR="00537655" w:rsidRDefault="00537655" w:rsidP="00537655">
      <w:pPr>
        <w:contextualSpacing/>
      </w:pPr>
      <w:r w:rsidRPr="00D8696A">
        <w:t xml:space="preserve">All </w:t>
      </w:r>
      <w:r w:rsidRPr="00BB277C">
        <w:t>R</w:t>
      </w:r>
      <w:r w:rsidRPr="00D8696A">
        <w:t xml:space="preserve"> scripts used for the analyses are available, on request, from the corresponding author.</w:t>
      </w:r>
      <w:r>
        <w:t xml:space="preserve"> [OR AS SUPPLEMENTARY MATERIAL?]</w:t>
      </w:r>
    </w:p>
    <w:p w14:paraId="1071FC9A" w14:textId="77777777" w:rsidR="00537655" w:rsidRPr="00537655" w:rsidRDefault="00537655" w:rsidP="00537655"/>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9"/>
    </w:p>
    <w:p w14:paraId="38D5AEC4" w14:textId="23942CB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Barske</w:t>
      </w:r>
      <w:proofErr w:type="spellEnd"/>
      <w:r w:rsidRPr="002A2936">
        <w:rPr>
          <w:rFonts w:eastAsiaTheme="minorEastAsia"/>
        </w:rPr>
        <w:t xml:space="preserve">, J., </w:t>
      </w:r>
      <w:proofErr w:type="spellStart"/>
      <w:r w:rsidRPr="002A2936">
        <w:rPr>
          <w:rFonts w:eastAsiaTheme="minorEastAsia"/>
        </w:rPr>
        <w:t>Schlinger</w:t>
      </w:r>
      <w:proofErr w:type="spellEnd"/>
      <w:r w:rsidRPr="002A2936">
        <w:rPr>
          <w:rFonts w:eastAsiaTheme="minorEastAsia"/>
        </w:rPr>
        <w:t xml:space="preserve">, B. A., </w:t>
      </w:r>
      <w:proofErr w:type="spellStart"/>
      <w:r w:rsidRPr="002A2936">
        <w:rPr>
          <w:rFonts w:eastAsiaTheme="minorEastAsia"/>
        </w:rPr>
        <w:t>Wikelski</w:t>
      </w:r>
      <w:proofErr w:type="spellEnd"/>
      <w:r w:rsidRPr="002A2936">
        <w:rPr>
          <w:rFonts w:eastAsiaTheme="minorEastAsia"/>
        </w:rPr>
        <w:t xml:space="preserve">, M., &amp; </w:t>
      </w:r>
      <w:proofErr w:type="spellStart"/>
      <w:r w:rsidRPr="002A2936">
        <w:rPr>
          <w:rFonts w:eastAsiaTheme="minorEastAsia"/>
        </w:rPr>
        <w:t>Fusani</w:t>
      </w:r>
      <w:proofErr w:type="spellEnd"/>
      <w:r w:rsidRPr="002A2936">
        <w:rPr>
          <w:rFonts w:eastAsiaTheme="minorEastAsia"/>
        </w:rPr>
        <w:t xml:space="preserve">,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Beehler</w:t>
      </w:r>
      <w:proofErr w:type="spellEnd"/>
      <w:r w:rsidRPr="002A2936">
        <w:rPr>
          <w:rFonts w:eastAsiaTheme="minorEastAsia"/>
        </w:rPr>
        <w:t xml:space="preserve">,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Benedict, L., &amp; </w:t>
      </w:r>
      <w:proofErr w:type="spellStart"/>
      <w:r w:rsidRPr="002A2936">
        <w:rPr>
          <w:rFonts w:eastAsiaTheme="minorEastAsia"/>
        </w:rPr>
        <w:t>Najar</w:t>
      </w:r>
      <w:proofErr w:type="spellEnd"/>
      <w:r w:rsidRPr="002A2936">
        <w:rPr>
          <w:rFonts w:eastAsiaTheme="minorEastAsia"/>
        </w:rPr>
        <w:t>,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w:t>
      </w:r>
      <w:proofErr w:type="spellStart"/>
      <w:r w:rsidRPr="002A2936">
        <w:rPr>
          <w:rFonts w:eastAsiaTheme="minorEastAsia"/>
        </w:rPr>
        <w:t>Bisazza</w:t>
      </w:r>
      <w:proofErr w:type="spellEnd"/>
      <w:r w:rsidRPr="002A2936">
        <w:rPr>
          <w:rFonts w:eastAsiaTheme="minorEastAsia"/>
        </w:rPr>
        <w:t xml:space="preserve">, A., &amp; </w:t>
      </w:r>
      <w:proofErr w:type="spellStart"/>
      <w:r w:rsidRPr="002A2936">
        <w:rPr>
          <w:rFonts w:eastAsiaTheme="minorEastAsia"/>
        </w:rPr>
        <w:t>Pilastro</w:t>
      </w:r>
      <w:proofErr w:type="spellEnd"/>
      <w:r w:rsidRPr="002A2936">
        <w:rPr>
          <w:rFonts w:eastAsiaTheme="minorEastAsia"/>
        </w:rPr>
        <w:t xml:space="preserve">,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Bostwick, K. S., &amp; Prum, R. O. (2003). High-speed video analysis of wing-snapping in two manakin clades (</w:t>
      </w:r>
      <w:proofErr w:type="spellStart"/>
      <w:r w:rsidRPr="002A2936">
        <w:rPr>
          <w:rFonts w:eastAsiaTheme="minorEastAsia"/>
        </w:rPr>
        <w:t>Pipridae</w:t>
      </w:r>
      <w:proofErr w:type="spellEnd"/>
      <w:r w:rsidRPr="002A2936">
        <w:rPr>
          <w:rFonts w:eastAsiaTheme="minorEastAsia"/>
        </w:rPr>
        <w:t xml:space="preserv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Stenzler</w:t>
      </w:r>
      <w:proofErr w:type="spellEnd"/>
      <w:r w:rsidRPr="002A2936">
        <w:rPr>
          <w:rFonts w:eastAsiaTheme="minorEastAsia"/>
        </w:rPr>
        <w:t>,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Lovette</w:t>
      </w:r>
      <w:proofErr w:type="spellEnd"/>
      <w:r w:rsidRPr="002A2936">
        <w:rPr>
          <w:rFonts w:eastAsiaTheme="minorEastAsia"/>
        </w:rPr>
        <w:t>, I.</w:t>
      </w:r>
      <w:r w:rsidR="00D42522">
        <w:rPr>
          <w:rFonts w:eastAsiaTheme="minorEastAsia"/>
        </w:rPr>
        <w:t xml:space="preserve"> </w:t>
      </w:r>
      <w:r w:rsidRPr="002A2936">
        <w:rPr>
          <w:rFonts w:eastAsiaTheme="minorEastAsia"/>
        </w:rPr>
        <w:t xml:space="preserve">J., de </w:t>
      </w:r>
      <w:proofErr w:type="spellStart"/>
      <w:r w:rsidRPr="002A2936">
        <w:rPr>
          <w:rFonts w:eastAsiaTheme="minorEastAsia"/>
        </w:rPr>
        <w:t>Kort</w:t>
      </w:r>
      <w:proofErr w:type="spellEnd"/>
      <w:r w:rsidRPr="002A2936">
        <w:rPr>
          <w:rFonts w:eastAsiaTheme="minorEastAsia"/>
        </w:rPr>
        <w:t>, S.</w:t>
      </w:r>
      <w:r w:rsidR="00D42522">
        <w:rPr>
          <w:rFonts w:eastAsiaTheme="minorEastAsia"/>
        </w:rPr>
        <w:t xml:space="preserve"> </w:t>
      </w:r>
      <w:r w:rsidRPr="002A2936">
        <w:rPr>
          <w:rFonts w:eastAsiaTheme="minorEastAsia"/>
        </w:rPr>
        <w:t xml:space="preserve">R., &amp; </w:t>
      </w:r>
      <w:proofErr w:type="spellStart"/>
      <w:r w:rsidRPr="002A2936">
        <w:rPr>
          <w:rFonts w:eastAsiaTheme="minorEastAsia"/>
        </w:rPr>
        <w:t>Vehrencamp</w:t>
      </w:r>
      <w:proofErr w:type="spellEnd"/>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 xml:space="preserve">Animal </w:t>
      </w:r>
      <w:proofErr w:type="spellStart"/>
      <w:r w:rsidRPr="00D42522">
        <w:rPr>
          <w:rFonts w:eastAsiaTheme="minorEastAsia"/>
          <w:i/>
        </w:rPr>
        <w:t>Behaviour</w:t>
      </w:r>
      <w:proofErr w:type="spellEnd"/>
      <w:r w:rsidRPr="00D42522">
        <w:rPr>
          <w:rFonts w:eastAsiaTheme="minorEastAsia"/>
          <w:i/>
        </w:rPr>
        <w:t>,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proofErr w:type="spellStart"/>
      <w:r w:rsidR="004E5018">
        <w:rPr>
          <w:rFonts w:eastAsiaTheme="minorEastAsia"/>
          <w:i/>
        </w:rPr>
        <w:t>behaviour</w:t>
      </w:r>
      <w:proofErr w:type="spellEnd"/>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w:t>
      </w:r>
      <w:proofErr w:type="spellStart"/>
      <w:r w:rsidRPr="002A2936">
        <w:rPr>
          <w:rFonts w:eastAsiaTheme="minorEastAsia"/>
        </w:rPr>
        <w:t>Vehrencamp</w:t>
      </w:r>
      <w:proofErr w:type="spellEnd"/>
      <w:r w:rsidRPr="002A2936">
        <w:rPr>
          <w:rFonts w:eastAsiaTheme="minorEastAsia"/>
        </w:rPr>
        <w:t xml:space="preserve">, S. L. (2014). Complexity and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ecology. </w:t>
      </w:r>
      <w:proofErr w:type="spellStart"/>
      <w:r w:rsidR="004E5018">
        <w:rPr>
          <w:rFonts w:eastAsiaTheme="minorEastAsia"/>
          <w:i/>
        </w:rPr>
        <w:t>Behaviour</w:t>
      </w:r>
      <w:r w:rsidRPr="00AD408E">
        <w:rPr>
          <w:rFonts w:eastAsiaTheme="minorEastAsia"/>
          <w:i/>
        </w:rPr>
        <w:t>al</w:t>
      </w:r>
      <w:proofErr w:type="spellEnd"/>
      <w:r w:rsidRPr="00AD408E">
        <w:rPr>
          <w:rFonts w:eastAsiaTheme="minorEastAsia"/>
          <w:i/>
        </w:rPr>
        <w:t xml:space="preserve">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w:t>
      </w:r>
      <w:proofErr w:type="spellStart"/>
      <w:r w:rsidRPr="002A2936">
        <w:rPr>
          <w:rFonts w:eastAsiaTheme="minorEastAsia"/>
        </w:rPr>
        <w:t>Kroodsma</w:t>
      </w:r>
      <w:proofErr w:type="spellEnd"/>
      <w:r w:rsidRPr="002A2936">
        <w:rPr>
          <w:rFonts w:eastAsiaTheme="minorEastAsia"/>
        </w:rPr>
        <w:t xml:space="preserve">, D. E. (2009). Female mate choice and songbird song repertoires. </w:t>
      </w:r>
      <w:r w:rsidRPr="00AD408E">
        <w:rPr>
          <w:rFonts w:eastAsiaTheme="minorEastAsia"/>
          <w:i/>
        </w:rPr>
        <w:t xml:space="preserve">Animal </w:t>
      </w:r>
      <w:proofErr w:type="spellStart"/>
      <w:r w:rsidRPr="00AD408E">
        <w:rPr>
          <w:rFonts w:eastAsiaTheme="minorEastAsia"/>
          <w:i/>
        </w:rPr>
        <w:t>Behaviour</w:t>
      </w:r>
      <w:proofErr w:type="spellEnd"/>
      <w:r w:rsidRPr="00AD408E">
        <w:rPr>
          <w:rFonts w:eastAsiaTheme="minorEastAsia"/>
          <w:i/>
        </w:rPr>
        <w:t>,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Couzin</w:t>
      </w:r>
      <w:proofErr w:type="spellEnd"/>
      <w:r w:rsidRPr="002A2936">
        <w:rPr>
          <w:rFonts w:eastAsiaTheme="minorEastAsia"/>
        </w:rPr>
        <w:t xml:space="preserve">,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Csardi</w:t>
      </w:r>
      <w:proofErr w:type="spellEnd"/>
      <w:r w:rsidRPr="002A2936">
        <w:rPr>
          <w:rFonts w:eastAsiaTheme="minorEastAsia"/>
        </w:rPr>
        <w:t xml:space="preserve"> G., &amp; </w:t>
      </w:r>
      <w:proofErr w:type="spellStart"/>
      <w:r w:rsidRPr="002A2936">
        <w:rPr>
          <w:rFonts w:eastAsiaTheme="minorEastAsia"/>
        </w:rPr>
        <w:t>Nepusz</w:t>
      </w:r>
      <w:proofErr w:type="spellEnd"/>
      <w:r w:rsidRPr="002A2936">
        <w:rPr>
          <w:rFonts w:eastAsiaTheme="minorEastAsia"/>
        </w:rPr>
        <w:t xml:space="preserve"> T. (2006). The </w:t>
      </w:r>
      <w:proofErr w:type="spellStart"/>
      <w:r w:rsidRPr="002A2936">
        <w:rPr>
          <w:rFonts w:eastAsiaTheme="minorEastAsia"/>
        </w:rPr>
        <w:t>igraph</w:t>
      </w:r>
      <w:proofErr w:type="spellEnd"/>
      <w:r w:rsidRPr="002A2936">
        <w:rPr>
          <w:rFonts w:eastAsiaTheme="minorEastAsia"/>
        </w:rPr>
        <w:t xml:space="preserve"> software package for complex network research. </w:t>
      </w:r>
      <w:proofErr w:type="spellStart"/>
      <w:r w:rsidRPr="0065432A">
        <w:rPr>
          <w:rFonts w:eastAsiaTheme="minorEastAsia"/>
          <w:i/>
        </w:rPr>
        <w:t>InterJournal</w:t>
      </w:r>
      <w:proofErr w:type="spellEnd"/>
      <w:r w:rsidRPr="0065432A">
        <w:rPr>
          <w:rFonts w:eastAsiaTheme="minorEastAsia"/>
          <w:i/>
        </w:rPr>
        <w:t xml:space="preserve">,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Da Silva, M. L., </w:t>
      </w:r>
      <w:proofErr w:type="spellStart"/>
      <w:r w:rsidRPr="002A2936">
        <w:rPr>
          <w:rFonts w:eastAsiaTheme="minorEastAsia"/>
        </w:rPr>
        <w:t>Piqueria</w:t>
      </w:r>
      <w:proofErr w:type="spellEnd"/>
      <w:r w:rsidRPr="002A2936">
        <w:rPr>
          <w:rFonts w:eastAsiaTheme="minorEastAsia"/>
        </w:rPr>
        <w:t xml:space="preserve">, J. R. C., &amp; </w:t>
      </w:r>
      <w:proofErr w:type="spellStart"/>
      <w:r w:rsidRPr="002A2936">
        <w:rPr>
          <w:rFonts w:eastAsiaTheme="minorEastAsia"/>
        </w:rPr>
        <w:t>Vielliard</w:t>
      </w:r>
      <w:proofErr w:type="spellEnd"/>
      <w:r w:rsidRPr="002A2936">
        <w:rPr>
          <w:rFonts w:eastAsiaTheme="minorEastAsia"/>
        </w:rPr>
        <w:t>, J. M. E. (2000). Using Shannon entropy on measuring the individual variability in the rufous-bellied thrush (</w:t>
      </w:r>
      <w:r w:rsidRPr="00B67496">
        <w:rPr>
          <w:rFonts w:eastAsiaTheme="minorEastAsia"/>
          <w:i/>
        </w:rPr>
        <w:t xml:space="preserve">Turdus </w:t>
      </w:r>
      <w:proofErr w:type="spellStart"/>
      <w:r w:rsidRPr="00B67496">
        <w:rPr>
          <w:rFonts w:eastAsiaTheme="minorEastAsia"/>
          <w:i/>
        </w:rPr>
        <w:t>rufiventris</w:t>
      </w:r>
      <w:proofErr w:type="spellEnd"/>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Deneubourg</w:t>
      </w:r>
      <w:proofErr w:type="spellEnd"/>
      <w:r w:rsidRPr="002A2936">
        <w:rPr>
          <w:rFonts w:eastAsiaTheme="minorEastAsia"/>
        </w:rPr>
        <w:t xml:space="preserve">, J. L., Aron, S., Goss, S., &amp; </w:t>
      </w:r>
      <w:proofErr w:type="spellStart"/>
      <w:r w:rsidRPr="002A2936">
        <w:rPr>
          <w:rFonts w:eastAsiaTheme="minorEastAsia"/>
        </w:rPr>
        <w:t>Pasteels</w:t>
      </w:r>
      <w:proofErr w:type="spellEnd"/>
      <w:r w:rsidRPr="002A2936">
        <w:rPr>
          <w:rFonts w:eastAsiaTheme="minorEastAsia"/>
        </w:rPr>
        <w:t xml:space="preserve">,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proofErr w:type="spellStart"/>
      <w:r w:rsidR="004E5018">
        <w:rPr>
          <w:rFonts w:eastAsiaTheme="minorEastAsia"/>
          <w:i/>
        </w:rPr>
        <w:t>Behaviour</w:t>
      </w:r>
      <w:proofErr w:type="spellEnd"/>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Emlen</w:t>
      </w:r>
      <w:proofErr w:type="spellEnd"/>
      <w:r w:rsidRPr="002A2936">
        <w:rPr>
          <w:rFonts w:eastAsiaTheme="minorEastAsia"/>
        </w:rPr>
        <w:t xml:space="preserve">, S. T., &amp; </w:t>
      </w:r>
      <w:proofErr w:type="spellStart"/>
      <w:r w:rsidRPr="002A2936">
        <w:rPr>
          <w:rFonts w:eastAsiaTheme="minorEastAsia"/>
        </w:rPr>
        <w:t>Oring</w:t>
      </w:r>
      <w:proofErr w:type="spellEnd"/>
      <w:r w:rsidRPr="002A2936">
        <w:rPr>
          <w:rFonts w:eastAsiaTheme="minorEastAsia"/>
        </w:rPr>
        <w:t xml:space="preserve">,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Fellegi</w:t>
      </w:r>
      <w:proofErr w:type="spellEnd"/>
      <w:r w:rsidRPr="002A2936">
        <w:rPr>
          <w:rFonts w:eastAsiaTheme="minorEastAsia"/>
        </w:rPr>
        <w:t>,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w:t>
      </w:r>
      <w:proofErr w:type="spellStart"/>
      <w:r w:rsidRPr="002A2936">
        <w:rPr>
          <w:rFonts w:eastAsiaTheme="minorEastAsia"/>
        </w:rPr>
        <w:t>Sunter</w:t>
      </w:r>
      <w:proofErr w:type="spellEnd"/>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proofErr w:type="spellStart"/>
      <w:r w:rsidRPr="00A96952">
        <w:rPr>
          <w:rFonts w:eastAsiaTheme="minorEastAsia"/>
        </w:rPr>
        <w:t>Freeberg</w:t>
      </w:r>
      <w:proofErr w:type="spellEnd"/>
      <w:r w:rsidRPr="00A96952">
        <w:rPr>
          <w:rFonts w:eastAsiaTheme="minorEastAsia"/>
        </w:rPr>
        <w:t xml:space="preserve">,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proofErr w:type="spellStart"/>
      <w:r w:rsidRPr="00A96952">
        <w:rPr>
          <w:rFonts w:eastAsiaTheme="minorEastAsia"/>
          <w:i/>
        </w:rPr>
        <w:t>Poecile</w:t>
      </w:r>
      <w:proofErr w:type="spellEnd"/>
      <w:r w:rsidRPr="00A96952">
        <w:rPr>
          <w:rFonts w:eastAsiaTheme="minorEastAsia"/>
          <w:i/>
        </w:rPr>
        <w:t xml:space="preserv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Friard</w:t>
      </w:r>
      <w:proofErr w:type="spellEnd"/>
      <w:r w:rsidRPr="002A2936">
        <w:rPr>
          <w:rFonts w:eastAsiaTheme="minorEastAsia"/>
        </w:rPr>
        <w:t xml:space="preserve">, O., &amp; </w:t>
      </w:r>
      <w:proofErr w:type="spellStart"/>
      <w:r w:rsidRPr="002A2936">
        <w:rPr>
          <w:rFonts w:eastAsiaTheme="minorEastAsia"/>
        </w:rPr>
        <w:t>Gamba</w:t>
      </w:r>
      <w:proofErr w:type="spellEnd"/>
      <w:r w:rsidRPr="002A2936">
        <w:rPr>
          <w:rFonts w:eastAsiaTheme="minorEastAsia"/>
        </w:rPr>
        <w:t xml:space="preserve">,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proofErr w:type="spellStart"/>
      <w:r w:rsidRPr="002A2936">
        <w:rPr>
          <w:rFonts w:eastAsiaTheme="minorEastAsia"/>
        </w:rPr>
        <w:t>Fusani</w:t>
      </w:r>
      <w:proofErr w:type="spellEnd"/>
      <w:r w:rsidRPr="002A2936">
        <w:rPr>
          <w:rFonts w:eastAsiaTheme="minorEastAsia"/>
        </w:rPr>
        <w:t xml:space="preserve">, L., Giordano, M., Day, L. B., &amp; </w:t>
      </w:r>
      <w:proofErr w:type="spellStart"/>
      <w:r w:rsidRPr="002A2936">
        <w:rPr>
          <w:rFonts w:eastAsiaTheme="minorEastAsia"/>
        </w:rPr>
        <w:t>Schlinger</w:t>
      </w:r>
      <w:proofErr w:type="spellEnd"/>
      <w:r w:rsidRPr="002A2936">
        <w:rPr>
          <w:rFonts w:eastAsiaTheme="minorEastAsia"/>
        </w:rPr>
        <w:t xml:space="preserve">,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 xml:space="preserve">Meles </w:t>
      </w:r>
      <w:proofErr w:type="spellStart"/>
      <w:r w:rsidRPr="003D33AD">
        <w:rPr>
          <w:rFonts w:eastAsiaTheme="minorEastAsia"/>
          <w:i/>
        </w:rPr>
        <w:t>meles</w:t>
      </w:r>
      <w:proofErr w:type="spellEnd"/>
      <w:r w:rsidRPr="002A2936">
        <w:rPr>
          <w:rFonts w:eastAsiaTheme="minorEastAsia"/>
        </w:rPr>
        <w:t xml:space="preserve">. </w:t>
      </w:r>
      <w:r w:rsidRPr="003D33AD">
        <w:rPr>
          <w:rFonts w:eastAsiaTheme="minorEastAsia"/>
          <w:i/>
        </w:rPr>
        <w:t xml:space="preserve">Animal </w:t>
      </w:r>
      <w:proofErr w:type="spellStart"/>
      <w:r w:rsidRPr="003D33AD">
        <w:rPr>
          <w:rFonts w:eastAsiaTheme="minorEastAsia"/>
          <w:i/>
        </w:rPr>
        <w:t>Behaviour</w:t>
      </w:r>
      <w:proofErr w:type="spellEnd"/>
      <w:r w:rsidRPr="003D33AD">
        <w:rPr>
          <w:rFonts w:eastAsiaTheme="minorEastAsia"/>
          <w:i/>
        </w:rPr>
        <w:t>,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 xml:space="preserve">Podiceps </w:t>
      </w:r>
      <w:proofErr w:type="spellStart"/>
      <w:r w:rsidRPr="003D33AD">
        <w:rPr>
          <w:rFonts w:eastAsiaTheme="minorEastAsia"/>
          <w:i/>
        </w:rPr>
        <w:t>cristatus</w:t>
      </w:r>
      <w:proofErr w:type="spellEnd"/>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t xml:space="preserve">Janisch, J., </w:t>
      </w:r>
      <w:proofErr w:type="spellStart"/>
      <w:r w:rsidRPr="00E44CAB">
        <w:rPr>
          <w:rFonts w:eastAsiaTheme="minorEastAsia"/>
        </w:rPr>
        <w:t>Perinot</w:t>
      </w:r>
      <w:proofErr w:type="spellEnd"/>
      <w:r w:rsidRPr="00E44CAB">
        <w:rPr>
          <w:rFonts w:eastAsiaTheme="minorEastAsia"/>
        </w:rPr>
        <w:t>,</w:t>
      </w:r>
      <w:r>
        <w:rPr>
          <w:rFonts w:eastAsiaTheme="minorEastAsia"/>
        </w:rPr>
        <w:t xml:space="preserve"> E., &amp;</w:t>
      </w:r>
      <w:r w:rsidRPr="00E44CAB">
        <w:rPr>
          <w:rFonts w:eastAsiaTheme="minorEastAsia"/>
        </w:rPr>
        <w:t xml:space="preserve"> </w:t>
      </w:r>
      <w:proofErr w:type="spellStart"/>
      <w:r w:rsidRPr="00E44CAB">
        <w:rPr>
          <w:rFonts w:eastAsiaTheme="minorEastAsia"/>
        </w:rPr>
        <w:t>Fusani</w:t>
      </w:r>
      <w:proofErr w:type="spellEnd"/>
      <w:r>
        <w:rPr>
          <w:rFonts w:eastAsiaTheme="minorEastAsia"/>
        </w:rPr>
        <w:t xml:space="preserve">, L. </w:t>
      </w:r>
      <w:proofErr w:type="spellStart"/>
      <w:r>
        <w:rPr>
          <w:rFonts w:eastAsiaTheme="minorEastAsia"/>
        </w:rPr>
        <w:t>Behavioural</w:t>
      </w:r>
      <w:proofErr w:type="spellEnd"/>
      <w:r>
        <w:rPr>
          <w:rFonts w:eastAsiaTheme="minorEastAsia"/>
        </w:rPr>
        <w:t xml:space="preserve"> flexibility in the courtship d</w:t>
      </w:r>
      <w:r w:rsidRPr="00E44CAB">
        <w:rPr>
          <w:rFonts w:eastAsiaTheme="minorEastAsia"/>
        </w:rPr>
        <w:t>ance of Gol</w:t>
      </w:r>
      <w:r>
        <w:rPr>
          <w:rFonts w:eastAsiaTheme="minorEastAsia"/>
        </w:rPr>
        <w:t xml:space="preserve">den-Collared Manakins, </w:t>
      </w:r>
      <w:proofErr w:type="spellStart"/>
      <w:r w:rsidRPr="00E44CAB">
        <w:rPr>
          <w:rFonts w:eastAsiaTheme="minorEastAsia"/>
          <w:i/>
        </w:rPr>
        <w:t>Manacus</w:t>
      </w:r>
      <w:proofErr w:type="spellEnd"/>
      <w:r w:rsidRPr="00E44CAB">
        <w:rPr>
          <w:rFonts w:eastAsiaTheme="minorEastAsia"/>
          <w:i/>
        </w:rPr>
        <w:t xml:space="preserve"> </w:t>
      </w:r>
      <w:proofErr w:type="spellStart"/>
      <w:r w:rsidRPr="00E44CAB">
        <w:rPr>
          <w:rFonts w:eastAsiaTheme="minorEastAsia"/>
          <w:i/>
        </w:rPr>
        <w:t>vitellinus</w:t>
      </w:r>
      <w:proofErr w:type="spellEnd"/>
      <w:r>
        <w:rPr>
          <w:rFonts w:eastAsiaTheme="minorEastAsia"/>
        </w:rPr>
        <w:t>.</w:t>
      </w:r>
      <w:r w:rsidRPr="00E44CAB">
        <w:rPr>
          <w:rFonts w:eastAsiaTheme="minorEastAsia"/>
        </w:rPr>
        <w:t xml:space="preserve"> </w:t>
      </w:r>
      <w:r w:rsidRPr="00E44CAB">
        <w:rPr>
          <w:rFonts w:eastAsiaTheme="minorEastAsia"/>
          <w:i/>
        </w:rPr>
        <w:t xml:space="preserve">Animal </w:t>
      </w:r>
      <w:proofErr w:type="spellStart"/>
      <w:r w:rsidRPr="00E44CAB">
        <w:rPr>
          <w:rFonts w:eastAsiaTheme="minorEastAsia"/>
          <w:i/>
        </w:rPr>
        <w:t>Behaviour</w:t>
      </w:r>
      <w:proofErr w:type="spellEnd"/>
      <w:r w:rsidRPr="00E44CAB">
        <w:rPr>
          <w:rFonts w:eastAsiaTheme="minorEastAsia"/>
          <w:i/>
        </w:rPr>
        <w:t xml:space="preserve">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Jaro</w:t>
      </w:r>
      <w:proofErr w:type="spellEnd"/>
      <w:r w:rsidRPr="002A2936">
        <w:rPr>
          <w:rFonts w:eastAsiaTheme="minorEastAsia"/>
        </w:rPr>
        <w:t xml:space="preserve">,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Kodric</w:t>
      </w:r>
      <w:proofErr w:type="spellEnd"/>
      <w:r w:rsidRPr="002A2936">
        <w:rPr>
          <w:rFonts w:eastAsiaTheme="minorEastAsia"/>
        </w:rPr>
        <w:t xml:space="preserve">-Brown, A., &amp; </w:t>
      </w:r>
      <w:proofErr w:type="spellStart"/>
      <w:r w:rsidRPr="002A2936">
        <w:rPr>
          <w:rFonts w:eastAsiaTheme="minorEastAsia"/>
        </w:rPr>
        <w:t>Nicoletto</w:t>
      </w:r>
      <w:proofErr w:type="spellEnd"/>
      <w:r w:rsidRPr="002A2936">
        <w:rPr>
          <w:rFonts w:eastAsiaTheme="minorEastAsia"/>
        </w:rPr>
        <w:t>, P. F. (2001). Female choice in the guppy (</w:t>
      </w:r>
      <w:proofErr w:type="spellStart"/>
      <w:r w:rsidRPr="003D33AD">
        <w:rPr>
          <w:rFonts w:eastAsiaTheme="minorEastAsia"/>
          <w:i/>
        </w:rPr>
        <w:t>Poecilia</w:t>
      </w:r>
      <w:proofErr w:type="spellEnd"/>
      <w:r w:rsidRPr="003D33AD">
        <w:rPr>
          <w:rFonts w:eastAsiaTheme="minorEastAsia"/>
          <w:i/>
        </w:rPr>
        <w:t xml:space="preserve">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proofErr w:type="spellStart"/>
      <w:r w:rsidR="004E5018">
        <w:rPr>
          <w:rFonts w:eastAsiaTheme="minorEastAsia"/>
        </w:rPr>
        <w:t>colour</w:t>
      </w:r>
      <w:proofErr w:type="spellEnd"/>
      <w:r w:rsidRPr="002A2936">
        <w:rPr>
          <w:rFonts w:eastAsiaTheme="minorEastAsia"/>
        </w:rPr>
        <w:t xml:space="preserve"> and display.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Lill</w:t>
      </w:r>
      <w:proofErr w:type="spellEnd"/>
      <w:r w:rsidRPr="002A2936">
        <w:rPr>
          <w:rFonts w:eastAsiaTheme="minorEastAsia"/>
        </w:rPr>
        <w:t xml:space="preserve">, A. (1974). Sexual </w:t>
      </w:r>
      <w:proofErr w:type="spellStart"/>
      <w:r w:rsidR="004E5018">
        <w:rPr>
          <w:rFonts w:eastAsiaTheme="minorEastAsia"/>
        </w:rPr>
        <w:t>behaviour</w:t>
      </w:r>
      <w:proofErr w:type="spellEnd"/>
      <w:r w:rsidRPr="002A2936">
        <w:rPr>
          <w:rFonts w:eastAsiaTheme="minorEastAsia"/>
        </w:rPr>
        <w:t xml:space="preserve"> of the </w:t>
      </w:r>
      <w:r w:rsidR="00134F22">
        <w:rPr>
          <w:rFonts w:eastAsiaTheme="minorEastAsia"/>
        </w:rPr>
        <w:t>l</w:t>
      </w:r>
      <w:r w:rsidRPr="002A2936">
        <w:rPr>
          <w:rFonts w:eastAsiaTheme="minorEastAsia"/>
        </w:rPr>
        <w:t>ek-forming White-bearded Manakin (</w:t>
      </w:r>
      <w:proofErr w:type="spellStart"/>
      <w:r w:rsidRPr="00134F22">
        <w:rPr>
          <w:rFonts w:eastAsiaTheme="minorEastAsia"/>
          <w:i/>
        </w:rPr>
        <w:t>Manacus</w:t>
      </w:r>
      <w:proofErr w:type="spellEnd"/>
      <w:r w:rsidRPr="00134F22">
        <w:rPr>
          <w:rFonts w:eastAsiaTheme="minorEastAsia"/>
          <w:i/>
        </w:rPr>
        <w:t xml:space="preserve"> </w:t>
      </w:r>
      <w:proofErr w:type="spellStart"/>
      <w:r w:rsidRPr="00134F22">
        <w:rPr>
          <w:rFonts w:eastAsiaTheme="minorEastAsia"/>
          <w:i/>
        </w:rPr>
        <w:t>manacus</w:t>
      </w:r>
      <w:proofErr w:type="spellEnd"/>
      <w:r w:rsidRPr="00134F22">
        <w:rPr>
          <w:rFonts w:eastAsiaTheme="minorEastAsia"/>
          <w:i/>
        </w:rPr>
        <w:t xml:space="preserve"> trinitatis</w:t>
      </w:r>
      <w:r w:rsidRPr="002A2936">
        <w:rPr>
          <w:rFonts w:eastAsiaTheme="minorEastAsia"/>
        </w:rPr>
        <w:t xml:space="preserve"> </w:t>
      </w:r>
      <w:proofErr w:type="spellStart"/>
      <w:r w:rsidRPr="002A2936">
        <w:rPr>
          <w:rFonts w:eastAsiaTheme="minorEastAsia"/>
        </w:rPr>
        <w:t>Hartert</w:t>
      </w:r>
      <w:proofErr w:type="spellEnd"/>
      <w:r w:rsidRPr="002A2936">
        <w:rPr>
          <w:rFonts w:eastAsiaTheme="minorEastAsia"/>
        </w:rPr>
        <w:t xml:space="preserve">).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w:t>
      </w:r>
      <w:proofErr w:type="spellStart"/>
      <w:r w:rsidRPr="00AA4129">
        <w:rPr>
          <w:rFonts w:eastAsiaTheme="minorEastAsia"/>
        </w:rPr>
        <w:t>Hanser</w:t>
      </w:r>
      <w:proofErr w:type="spellEnd"/>
      <w:r w:rsidRPr="00AA4129">
        <w:rPr>
          <w:rFonts w:eastAsiaTheme="minorEastAsia"/>
        </w:rPr>
        <w:t xml:space="preserve">,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proofErr w:type="spellStart"/>
      <w:r w:rsidR="004E5018">
        <w:rPr>
          <w:rFonts w:eastAsiaTheme="minorEastAsia"/>
          <w:i/>
        </w:rPr>
        <w:t>Behaviour</w:t>
      </w:r>
      <w:proofErr w:type="spellEnd"/>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w:t>
      </w:r>
      <w:proofErr w:type="spellStart"/>
      <w:r w:rsidRPr="002A2936">
        <w:rPr>
          <w:rFonts w:eastAsiaTheme="minorEastAsia"/>
        </w:rPr>
        <w:t>Fuxjager</w:t>
      </w:r>
      <w:proofErr w:type="spellEnd"/>
      <w:r w:rsidRPr="002A2936">
        <w:rPr>
          <w:rFonts w:eastAsiaTheme="minorEastAsia"/>
        </w:rPr>
        <w:t xml:space="preserve">,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proofErr w:type="spellStart"/>
      <w:r w:rsidR="004E5018">
        <w:rPr>
          <w:rFonts w:eastAsiaTheme="minorEastAsia"/>
        </w:rPr>
        <w:t>behaviour</w:t>
      </w:r>
      <w:proofErr w:type="spellEnd"/>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w:t>
      </w:r>
      <w:proofErr w:type="spellStart"/>
      <w:r w:rsidRPr="002A2936">
        <w:rPr>
          <w:rFonts w:eastAsiaTheme="minorEastAsia"/>
        </w:rPr>
        <w:t>Castaño</w:t>
      </w:r>
      <w:proofErr w:type="spellEnd"/>
      <w:r w:rsidRPr="002A2936">
        <w:rPr>
          <w:rFonts w:eastAsiaTheme="minorEastAsia"/>
        </w:rPr>
        <w:t xml:space="preserve">-Villa,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xml:space="preserve">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proofErr w:type="spellStart"/>
      <w:r w:rsidR="004E5018">
        <w:rPr>
          <w:rFonts w:eastAsiaTheme="minorEastAsia"/>
        </w:rPr>
        <w:t>Behaviour</w:t>
      </w:r>
      <w:r w:rsidRPr="00AD789E">
        <w:rPr>
          <w:rFonts w:eastAsiaTheme="minorEastAsia"/>
        </w:rPr>
        <w:t>al</w:t>
      </w:r>
      <w:proofErr w:type="spellEnd"/>
      <w:r w:rsidRPr="00AD789E">
        <w:rPr>
          <w:rFonts w:eastAsiaTheme="minorEastAsia"/>
        </w:rPr>
        <w:t xml:space="preserve">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Nooker</w:t>
      </w:r>
      <w:proofErr w:type="spellEnd"/>
      <w:r w:rsidRPr="002A2936">
        <w:rPr>
          <w:rFonts w:eastAsiaTheme="minorEastAsia"/>
        </w:rPr>
        <w:t xml:space="preserve">, J. K., &amp; </w:t>
      </w:r>
      <w:proofErr w:type="spellStart"/>
      <w:r w:rsidRPr="002A2936">
        <w:rPr>
          <w:rFonts w:eastAsiaTheme="minorEastAsia"/>
        </w:rPr>
        <w:t>Sandercock</w:t>
      </w:r>
      <w:proofErr w:type="spellEnd"/>
      <w:r w:rsidRPr="002A2936">
        <w:rPr>
          <w:rFonts w:eastAsiaTheme="minorEastAsia"/>
        </w:rPr>
        <w:t>, B. K. (2008). Phenotypic correlates and survival consequences of male mating success in lek-mating greater prairie-chickens (</w:t>
      </w:r>
      <w:r w:rsidRPr="009E1D63">
        <w:rPr>
          <w:rFonts w:eastAsiaTheme="minorEastAsia"/>
          <w:i/>
        </w:rPr>
        <w:t xml:space="preserve">Tympanuchus </w:t>
      </w:r>
      <w:proofErr w:type="spellStart"/>
      <w:r w:rsidRPr="009E1D63">
        <w:rPr>
          <w:rFonts w:eastAsiaTheme="minorEastAsia"/>
          <w:i/>
        </w:rPr>
        <w:t>cupido</w:t>
      </w:r>
      <w:proofErr w:type="spellEnd"/>
      <w:r w:rsidRPr="002A2936">
        <w:rPr>
          <w:rFonts w:eastAsiaTheme="minorEastAsia"/>
        </w:rPr>
        <w:t xml:space="preserve">).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Ooms</w:t>
      </w:r>
      <w:proofErr w:type="spellEnd"/>
      <w:r w:rsidRPr="002A2936">
        <w:rPr>
          <w:rFonts w:eastAsiaTheme="minorEastAsia"/>
        </w:rPr>
        <w:t xml:space="preserve">, J., &amp; Google, Inc. (2018). </w:t>
      </w:r>
      <w:proofErr w:type="spellStart"/>
      <w:r w:rsidRPr="002A2936">
        <w:rPr>
          <w:rFonts w:eastAsiaTheme="minorEastAsia"/>
        </w:rPr>
        <w:t>brotli</w:t>
      </w:r>
      <w:proofErr w:type="spellEnd"/>
      <w:r w:rsidRPr="002A2936">
        <w:rPr>
          <w:rFonts w:eastAsiaTheme="minorEastAsia"/>
        </w:rPr>
        <w:t>: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Palmero</w:t>
      </w:r>
      <w:proofErr w:type="spellEnd"/>
      <w:r w:rsidRPr="002A2936">
        <w:rPr>
          <w:rFonts w:eastAsiaTheme="minorEastAsia"/>
        </w:rPr>
        <w:t xml:space="preserve">, A. M., </w:t>
      </w:r>
      <w:proofErr w:type="spellStart"/>
      <w:r w:rsidRPr="002A2936">
        <w:rPr>
          <w:rFonts w:eastAsiaTheme="minorEastAsia"/>
        </w:rPr>
        <w:t>Espelosín</w:t>
      </w:r>
      <w:proofErr w:type="spellEnd"/>
      <w:r w:rsidRPr="002A2936">
        <w:rPr>
          <w:rFonts w:eastAsiaTheme="minorEastAsia"/>
        </w:rPr>
        <w:t xml:space="preserve">, J., </w:t>
      </w:r>
      <w:proofErr w:type="spellStart"/>
      <w:r w:rsidRPr="002A2936">
        <w:rPr>
          <w:rFonts w:eastAsiaTheme="minorEastAsia"/>
        </w:rPr>
        <w:t>Laiolo</w:t>
      </w:r>
      <w:proofErr w:type="spellEnd"/>
      <w:r w:rsidRPr="002A2936">
        <w:rPr>
          <w:rFonts w:eastAsiaTheme="minorEastAsia"/>
        </w:rPr>
        <w:t xml:space="preserve">, P., &amp; </w:t>
      </w:r>
      <w:proofErr w:type="spellStart"/>
      <w:r w:rsidRPr="002A2936">
        <w:rPr>
          <w:rFonts w:eastAsiaTheme="minorEastAsia"/>
        </w:rPr>
        <w:t>Illera</w:t>
      </w:r>
      <w:proofErr w:type="spellEnd"/>
      <w:r w:rsidRPr="002A2936">
        <w:rPr>
          <w:rFonts w:eastAsiaTheme="minorEastAsia"/>
        </w:rPr>
        <w:t xml:space="preserve">, J. C. (2014). Information theory reveals that individual birds do not alter song complexity when varying song length.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w:t>
      </w:r>
      <w:proofErr w:type="spellStart"/>
      <w:r w:rsidRPr="002A2936">
        <w:rPr>
          <w:rFonts w:eastAsiaTheme="minorEastAsia"/>
        </w:rPr>
        <w:t>Hebets</w:t>
      </w:r>
      <w:proofErr w:type="spellEnd"/>
      <w:r w:rsidRPr="002A2936">
        <w:rPr>
          <w:rFonts w:eastAsiaTheme="minorEastAsia"/>
        </w:rPr>
        <w:t xml:space="preserve">, E. A. (2016). New dimensions in animal communication: the case for complexity. </w:t>
      </w:r>
      <w:r w:rsidRPr="007B209E">
        <w:rPr>
          <w:rFonts w:eastAsiaTheme="minorEastAsia"/>
          <w:i/>
        </w:rPr>
        <w:t xml:space="preserve">Current Opinion in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proofErr w:type="spellStart"/>
      <w:r w:rsidRPr="00695688">
        <w:rPr>
          <w:i/>
        </w:rPr>
        <w:t>Ptilonorhynchus</w:t>
      </w:r>
      <w:proofErr w:type="spellEnd"/>
      <w:r w:rsidRPr="00695688">
        <w:rPr>
          <w:i/>
        </w:rPr>
        <w:t xml:space="preserve"> violaceus</w:t>
      </w:r>
      <w:r>
        <w:t xml:space="preserve">, adjust their display intensity in response to female startling: an experiment with robotic females. </w:t>
      </w:r>
      <w:r>
        <w:rPr>
          <w:i/>
          <w:iCs/>
        </w:rPr>
        <w:t xml:space="preserve">Animal </w:t>
      </w:r>
      <w:proofErr w:type="spellStart"/>
      <w:r>
        <w:rPr>
          <w:i/>
          <w:iCs/>
        </w:rPr>
        <w:t>Behaviour</w:t>
      </w:r>
      <w:proofErr w:type="spellEnd"/>
      <w:r>
        <w:t xml:space="preserve"> </w:t>
      </w:r>
      <w:proofErr w:type="gramStart"/>
      <w:r>
        <w:t>71,  49</w:t>
      </w:r>
      <w:proofErr w:type="gramEnd"/>
      <w:r>
        <w:t>–59.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Pinter-Wollman, N., Hobson, E. A., Smith, J. E., Edelman, A. J., Shizuka, D., de Silva, S., Waters, J. S., Prager, S. D., Sasaki, T., </w:t>
      </w:r>
      <w:proofErr w:type="spellStart"/>
      <w:r w:rsidRPr="002A2936">
        <w:rPr>
          <w:rFonts w:eastAsiaTheme="minorEastAsia"/>
        </w:rPr>
        <w:t>Wittemyer</w:t>
      </w:r>
      <w:proofErr w:type="spellEnd"/>
      <w:r w:rsidRPr="002A2936">
        <w:rPr>
          <w:rFonts w:eastAsiaTheme="minorEastAsia"/>
        </w:rPr>
        <w:t xml:space="preserve">, G., Fewell, J., &amp; McDonald, D. B. (2014). The dynamics of animal social networks: analytical, conceptual, and theoretical advances.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Prum, R., &amp; Johnson, A. (1987). Display </w:t>
      </w:r>
      <w:proofErr w:type="spellStart"/>
      <w:r w:rsidR="004E5018">
        <w:rPr>
          <w:rFonts w:eastAsiaTheme="minorEastAsia"/>
        </w:rPr>
        <w:t>behaviour</w:t>
      </w:r>
      <w:proofErr w:type="spellEnd"/>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 xml:space="preserve">Masius </w:t>
      </w:r>
      <w:proofErr w:type="spellStart"/>
      <w:r w:rsidRPr="007B209E">
        <w:rPr>
          <w:rFonts w:eastAsiaTheme="minorEastAsia"/>
          <w:i/>
        </w:rPr>
        <w:t>chrysopterus</w:t>
      </w:r>
      <w:proofErr w:type="spellEnd"/>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w:t>
      </w:r>
      <w:proofErr w:type="spellStart"/>
      <w:r>
        <w:t>Haen</w:t>
      </w:r>
      <w:proofErr w:type="spellEnd"/>
      <w:r>
        <w:t xml:space="preserve">, C., </w:t>
      </w:r>
      <w:proofErr w:type="spellStart"/>
      <w:r>
        <w:t>Cocroft</w:t>
      </w:r>
      <w:proofErr w:type="spellEnd"/>
      <w:r>
        <w:t xml:space="preserve">, R. B. &amp; Fowler-Finn, K. D. 2012. Males adjust signaling effort based on female mate-preference cues. </w:t>
      </w:r>
      <w:proofErr w:type="spellStart"/>
      <w:r w:rsidR="004E5018">
        <w:rPr>
          <w:i/>
          <w:iCs/>
        </w:rPr>
        <w:t>Behaviour</w:t>
      </w:r>
      <w:r>
        <w:rPr>
          <w:i/>
          <w:iCs/>
        </w:rPr>
        <w:t>al</w:t>
      </w:r>
      <w:proofErr w:type="spellEnd"/>
      <w:r>
        <w:rPr>
          <w:i/>
          <w:iCs/>
        </w:rPr>
        <w:t xml:space="preserve">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w:t>
      </w:r>
      <w:proofErr w:type="spellStart"/>
      <w:r w:rsidRPr="002A2936">
        <w:rPr>
          <w:rFonts w:eastAsiaTheme="minorEastAsia"/>
        </w:rPr>
        <w:t>Durães</w:t>
      </w:r>
      <w:proofErr w:type="spellEnd"/>
      <w:r w:rsidRPr="002A2936">
        <w:rPr>
          <w:rFonts w:eastAsiaTheme="minorEastAsia"/>
        </w:rPr>
        <w:t xml:space="preserve">, R. (2005). It’s not easy being green: using molt and morphological criteria to age and sex green-plumage manakins (Aves: </w:t>
      </w:r>
      <w:proofErr w:type="spellStart"/>
      <w:r w:rsidRPr="002A2936">
        <w:rPr>
          <w:rFonts w:eastAsiaTheme="minorEastAsia"/>
        </w:rPr>
        <w:t>Pipridae</w:t>
      </w:r>
      <w:proofErr w:type="spellEnd"/>
      <w:r w:rsidRPr="002A2936">
        <w:rPr>
          <w:rFonts w:eastAsiaTheme="minorEastAsia"/>
        </w:rPr>
        <w:t xml:space="preserve">). </w:t>
      </w:r>
      <w:proofErr w:type="spellStart"/>
      <w:r w:rsidRPr="007B209E">
        <w:rPr>
          <w:rFonts w:eastAsiaTheme="minorEastAsia"/>
          <w:i/>
        </w:rPr>
        <w:t>Ornitologia</w:t>
      </w:r>
      <w:proofErr w:type="spellEnd"/>
      <w:r w:rsidRPr="007B209E">
        <w:rPr>
          <w:rFonts w:eastAsiaTheme="minorEastAsia"/>
          <w:i/>
        </w:rPr>
        <w:t xml:space="preserve">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proofErr w:type="spellStart"/>
      <w:r w:rsidRPr="007B209E">
        <w:rPr>
          <w:rFonts w:eastAsiaTheme="minorEastAsia"/>
          <w:i/>
        </w:rPr>
        <w:t>Pipra</w:t>
      </w:r>
      <w:proofErr w:type="spellEnd"/>
      <w:r w:rsidRPr="007B209E">
        <w:rPr>
          <w:rFonts w:eastAsiaTheme="minorEastAsia"/>
          <w:i/>
        </w:rPr>
        <w:t xml:space="preserve"> </w:t>
      </w:r>
      <w:proofErr w:type="spellStart"/>
      <w:r w:rsidRPr="007B209E">
        <w:rPr>
          <w:rFonts w:eastAsiaTheme="minorEastAsia"/>
          <w:i/>
        </w:rPr>
        <w:t>filicauda</w:t>
      </w:r>
      <w:proofErr w:type="spellEnd"/>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proofErr w:type="spellStart"/>
      <w:r w:rsidRPr="002A2936">
        <w:rPr>
          <w:rFonts w:eastAsiaTheme="minorEastAsia"/>
        </w:rPr>
        <w:t>Sibly</w:t>
      </w:r>
      <w:proofErr w:type="spellEnd"/>
      <w:r w:rsidRPr="002A2936">
        <w:rPr>
          <w:rFonts w:eastAsiaTheme="minorEastAsia"/>
        </w:rPr>
        <w:t>,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w:t>
      </w:r>
      <w:proofErr w:type="spellStart"/>
      <w:r w:rsidRPr="002A2936">
        <w:rPr>
          <w:rFonts w:eastAsiaTheme="minorEastAsia"/>
        </w:rPr>
        <w:t>behaviour</w:t>
      </w:r>
      <w:proofErr w:type="spellEnd"/>
      <w:r w:rsidRPr="002A2936">
        <w:rPr>
          <w:rFonts w:eastAsiaTheme="minorEastAsia"/>
        </w:rPr>
        <w:t xml:space="preserve">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w:t>
      </w:r>
      <w:proofErr w:type="spellStart"/>
      <w:r w:rsidRPr="007B209E">
        <w:rPr>
          <w:rFonts w:eastAsiaTheme="minorEastAsia"/>
          <w:i/>
        </w:rPr>
        <w:t>Behav</w:t>
      </w:r>
      <w:r w:rsidR="007B209E" w:rsidRPr="007B209E">
        <w:rPr>
          <w:rFonts w:eastAsiaTheme="minorEastAsia"/>
          <w:i/>
        </w:rPr>
        <w:t>iour</w:t>
      </w:r>
      <w:proofErr w:type="spellEnd"/>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Sih</w:t>
      </w:r>
      <w:proofErr w:type="spellEnd"/>
      <w:r w:rsidRPr="002A2936">
        <w:rPr>
          <w:rFonts w:eastAsiaTheme="minorEastAsia"/>
        </w:rPr>
        <w:t>,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proofErr w:type="spellStart"/>
      <w:r w:rsidRPr="00DF698C">
        <w:rPr>
          <w:rFonts w:eastAsiaTheme="minorEastAsia"/>
          <w:i/>
        </w:rPr>
        <w:t>chrysopterus</w:t>
      </w:r>
      <w:proofErr w:type="spellEnd"/>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proofErr w:type="spellStart"/>
      <w:r w:rsidRPr="003E52C9">
        <w:rPr>
          <w:rFonts w:eastAsiaTheme="minorEastAsia"/>
        </w:rPr>
        <w:t>Sonderegger</w:t>
      </w:r>
      <w:proofErr w:type="spellEnd"/>
      <w:r w:rsidRPr="003E52C9">
        <w:rPr>
          <w:rFonts w:eastAsiaTheme="minorEastAsia"/>
        </w:rPr>
        <w:t xml:space="preserve">, D. (2020). </w:t>
      </w:r>
      <w:proofErr w:type="spellStart"/>
      <w:r w:rsidRPr="003E52C9">
        <w:rPr>
          <w:rFonts w:eastAsiaTheme="minorEastAsia"/>
        </w:rPr>
        <w:t>SiZer</w:t>
      </w:r>
      <w:proofErr w:type="spellEnd"/>
      <w:r w:rsidRPr="003E52C9">
        <w:rPr>
          <w:rFonts w:eastAsiaTheme="minorEastAsia"/>
        </w:rPr>
        <w:t>: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proofErr w:type="spellStart"/>
      <w:r w:rsidRPr="002A2936">
        <w:rPr>
          <w:rFonts w:eastAsiaTheme="minorEastAsia"/>
        </w:rPr>
        <w:t>Uriarte</w:t>
      </w:r>
      <w:proofErr w:type="spellEnd"/>
      <w:r w:rsidRPr="002A2936">
        <w:rPr>
          <w:rFonts w:eastAsiaTheme="minorEastAsia"/>
        </w:rPr>
        <w:t xml:space="preserve">, M., </w:t>
      </w:r>
      <w:proofErr w:type="spellStart"/>
      <w:r w:rsidRPr="002A2936">
        <w:rPr>
          <w:rFonts w:eastAsiaTheme="minorEastAsia"/>
        </w:rPr>
        <w:t>Anciães</w:t>
      </w:r>
      <w:proofErr w:type="spellEnd"/>
      <w:r w:rsidRPr="002A2936">
        <w:rPr>
          <w:rFonts w:eastAsiaTheme="minorEastAsia"/>
        </w:rPr>
        <w:t xml:space="preserve">,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proofErr w:type="spellStart"/>
      <w:r w:rsidRPr="002A2936">
        <w:rPr>
          <w:rFonts w:eastAsiaTheme="minorEastAsia"/>
        </w:rPr>
        <w:t>Rubim</w:t>
      </w:r>
      <w:proofErr w:type="spellEnd"/>
      <w:r w:rsidRPr="002A2936">
        <w:rPr>
          <w:rFonts w:eastAsiaTheme="minorEastAsia"/>
        </w:rPr>
        <w:t xml:space="preserve">,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w:t>
      </w:r>
      <w:proofErr w:type="spellStart"/>
      <w:r w:rsidRPr="004378B2">
        <w:rPr>
          <w:rFonts w:eastAsiaTheme="minorEastAsia"/>
        </w:rPr>
        <w:t>stringdist</w:t>
      </w:r>
      <w:proofErr w:type="spellEnd"/>
      <w:r w:rsidRPr="004378B2">
        <w:rPr>
          <w:rFonts w:eastAsiaTheme="minorEastAsia"/>
        </w:rPr>
        <w:t xml:space="preserve">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proofErr w:type="spellStart"/>
      <w:r w:rsidRPr="007B209E">
        <w:rPr>
          <w:rFonts w:eastAsiaTheme="minorEastAsia"/>
          <w:i/>
        </w:rPr>
        <w:t>Biotropica</w:t>
      </w:r>
      <w:proofErr w:type="spellEnd"/>
      <w:r w:rsidRPr="007B209E">
        <w:rPr>
          <w:rFonts w:eastAsiaTheme="minorEastAsia"/>
          <w:i/>
        </w:rPr>
        <w:t xml:space="preserve">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Zuk</w:t>
      </w:r>
      <w:proofErr w:type="spellEnd"/>
      <w:r w:rsidRPr="002A2936">
        <w:rPr>
          <w:rFonts w:eastAsiaTheme="minorEastAsia"/>
        </w:rPr>
        <w:t xml:space="preserve">, M., Thornhill, R., </w:t>
      </w:r>
      <w:proofErr w:type="spellStart"/>
      <w:r w:rsidRPr="002A2936">
        <w:rPr>
          <w:rFonts w:eastAsiaTheme="minorEastAsia"/>
        </w:rPr>
        <w:t>Ligon</w:t>
      </w:r>
      <w:proofErr w:type="spellEnd"/>
      <w:r w:rsidRPr="002A2936">
        <w:rPr>
          <w:rFonts w:eastAsiaTheme="minorEastAsia"/>
        </w:rPr>
        <w:t xml:space="preserve">, J. D., Johnson, K., </w:t>
      </w:r>
      <w:proofErr w:type="spellStart"/>
      <w:r w:rsidRPr="002A2936">
        <w:rPr>
          <w:rFonts w:eastAsiaTheme="minorEastAsia"/>
        </w:rPr>
        <w:t>Austad</w:t>
      </w:r>
      <w:proofErr w:type="spellEnd"/>
      <w:r w:rsidRPr="002A2936">
        <w:rPr>
          <w:rFonts w:eastAsiaTheme="minorEastAsia"/>
        </w:rPr>
        <w:t xml:space="preserve">, S., </w:t>
      </w:r>
      <w:proofErr w:type="spellStart"/>
      <w:r w:rsidRPr="002A2936">
        <w:rPr>
          <w:rFonts w:eastAsiaTheme="minorEastAsia"/>
        </w:rPr>
        <w:t>Ligon</w:t>
      </w:r>
      <w:proofErr w:type="spellEnd"/>
      <w:r w:rsidRPr="002A2936">
        <w:rPr>
          <w:rFonts w:eastAsiaTheme="minorEastAsia"/>
        </w:rPr>
        <w:t xml:space="preserve">, S. H., Thornhill, N. W., &amp; Costin, C. (1990). The </w:t>
      </w:r>
      <w:r w:rsidR="007B209E" w:rsidRPr="002A2936">
        <w:rPr>
          <w:rFonts w:eastAsiaTheme="minorEastAsia"/>
        </w:rPr>
        <w:t xml:space="preserve">role of male ornaments and courtship </w:t>
      </w:r>
      <w:proofErr w:type="spellStart"/>
      <w:r w:rsidR="004E5018">
        <w:rPr>
          <w:rFonts w:eastAsiaTheme="minorEastAsia"/>
        </w:rPr>
        <w:t>behaviour</w:t>
      </w:r>
      <w:proofErr w:type="spellEnd"/>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155C55">
      <w:pPr>
        <w:contextualSpacing/>
        <w:rPr>
          <w:sz w:val="16"/>
          <w:szCs w:val="16"/>
        </w:rPr>
      </w:pPr>
    </w:p>
    <w:p w14:paraId="40741E3C" w14:textId="691BB9F8" w:rsidR="002A78F2" w:rsidRPr="002A78F2" w:rsidRDefault="002A78F2" w:rsidP="00155C55">
      <w:pPr>
        <w:contextualSpacing/>
        <w:rPr>
          <w:b/>
        </w:rPr>
      </w:pPr>
      <w:r w:rsidRPr="002A78F2">
        <w:rPr>
          <w:b/>
        </w:rPr>
        <w:t>ACKNOWLEDGMENTS</w:t>
      </w:r>
    </w:p>
    <w:p w14:paraId="3393A075" w14:textId="272E6428" w:rsidR="0020001C" w:rsidRPr="0020001C" w:rsidRDefault="0020001C" w:rsidP="00155C55">
      <w:pPr>
        <w:contextualSpacing/>
      </w:pPr>
      <w:r w:rsidRPr="00827477">
        <w:t xml:space="preserve">The </w:t>
      </w:r>
      <w:proofErr w:type="spellStart"/>
      <w:r w:rsidRPr="00827477">
        <w:t>Mindo</w:t>
      </w:r>
      <w:proofErr w:type="spellEnd"/>
      <w:r w:rsidRPr="00827477">
        <w:t xml:space="preserve"> </w:t>
      </w:r>
      <w:proofErr w:type="spellStart"/>
      <w:r w:rsidRPr="00827477">
        <w:t>Cloudforest</w:t>
      </w:r>
      <w:proofErr w:type="spellEnd"/>
      <w:r w:rsidRPr="00827477">
        <w:t xml:space="preserve"> Foundation (MCF) allowed us to use their </w:t>
      </w:r>
      <w:proofErr w:type="spellStart"/>
      <w:r w:rsidRPr="00827477">
        <w:t>Milpe</w:t>
      </w:r>
      <w:proofErr w:type="spellEnd"/>
      <w:r w:rsidRPr="00827477">
        <w:t xml:space="preserve"> Sanctuary for our</w:t>
      </w:r>
      <w:r>
        <w:t xml:space="preserve"> study. Brian </w:t>
      </w:r>
      <w:proofErr w:type="spellStart"/>
      <w:r>
        <w:t>Krohnke</w:t>
      </w:r>
      <w:proofErr w:type="spellEnd"/>
      <w:r>
        <w:t xml:space="preserve"> and Maria José Guerrero of MCF were extremely helpful in providing logistical support. Support from the Fulbright Foundation, </w:t>
      </w:r>
      <w:r w:rsidR="00010FA0">
        <w:t xml:space="preserve">and </w:t>
      </w:r>
      <w:r>
        <w:t>the U</w:t>
      </w:r>
      <w:r w:rsidR="00010FA0">
        <w:t xml:space="preserve">niversity of Wyoming's </w:t>
      </w:r>
      <w:proofErr w:type="spellStart"/>
      <w:r w:rsidR="00010FA0">
        <w:t>Flittie</w:t>
      </w:r>
      <w:proofErr w:type="spellEnd"/>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w:t>
      </w:r>
      <w:proofErr w:type="spellStart"/>
      <w:r w:rsidR="00010FA0">
        <w:t>tambien</w:t>
      </w:r>
      <w:proofErr w:type="spellEnd"/>
      <w:r w:rsidR="00010FA0">
        <w:t xml:space="preserve"> </w:t>
      </w:r>
      <w:r w:rsidR="00617E43">
        <w:t xml:space="preserve">a la </w:t>
      </w:r>
      <w:proofErr w:type="spellStart"/>
      <w:r w:rsidR="00617E43">
        <w:t>vida</w:t>
      </w:r>
      <w:proofErr w:type="spellEnd"/>
      <w:r w:rsidR="00617E43">
        <w:t xml:space="preserve"> </w:t>
      </w:r>
      <w:proofErr w:type="spellStart"/>
      <w:r w:rsidR="00617E43">
        <w:t>silvestre</w:t>
      </w:r>
      <w:proofErr w:type="spellEnd"/>
      <w:r w:rsidR="00617E43">
        <w:t xml:space="preserve">, </w:t>
      </w:r>
      <w:r w:rsidR="00010FA0">
        <w:t xml:space="preserve">al pueblo y </w:t>
      </w:r>
      <w:r w:rsidR="00617E43">
        <w:t xml:space="preserve">al </w:t>
      </w:r>
      <w:proofErr w:type="spellStart"/>
      <w:r w:rsidR="00010FA0">
        <w:t>gobierno</w:t>
      </w:r>
      <w:proofErr w:type="spellEnd"/>
      <w:r w:rsidR="00010FA0">
        <w:t xml:space="preserve"> del Ecuador. </w:t>
      </w:r>
    </w:p>
    <w:p w14:paraId="51CF91A0" w14:textId="77777777" w:rsidR="0020001C" w:rsidRPr="00674248" w:rsidRDefault="0020001C" w:rsidP="00155C55">
      <w:pPr>
        <w:contextualSpacing/>
        <w:rPr>
          <w:sz w:val="16"/>
          <w:szCs w:val="16"/>
        </w:rPr>
      </w:pPr>
    </w:p>
    <w:p w14:paraId="36809AAA" w14:textId="77777777" w:rsidR="002A78F2" w:rsidRDefault="004041D1" w:rsidP="00155C55">
      <w:pPr>
        <w:contextualSpacing/>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155C55">
      <w:pPr>
        <w:contextualSpacing/>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155C55">
      <w:pPr>
        <w:contextualSpacing/>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155C55">
      <w:pPr>
        <w:contextualSpacing/>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155C55">
      <w:pPr>
        <w:contextualSpacing/>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rsidP="00155C55">
      <w:pPr>
        <w:contextualSpacing/>
        <w:rPr>
          <w:rFonts w:eastAsiaTheme="minorEastAsia"/>
        </w:rPr>
      </w:pPr>
      <w:r>
        <w:rPr>
          <w:rFonts w:eastAsiaTheme="minorEastAsia"/>
        </w:rPr>
        <w:br w:type="page"/>
      </w:r>
    </w:p>
    <w:p w14:paraId="76C53B40" w14:textId="16F4BEA0" w:rsidR="001915D3" w:rsidRPr="002A78F2" w:rsidRDefault="001915D3" w:rsidP="00155C55">
      <w:pPr>
        <w:contextualSpacing/>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55C55">
      <w:pPr>
        <w:ind w:left="720"/>
        <w:contextualSpacing/>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628" cy="3128809"/>
                    </a:xfrm>
                    <a:prstGeom prst="rect">
                      <a:avLst/>
                    </a:prstGeom>
                  </pic:spPr>
                </pic:pic>
              </a:graphicData>
            </a:graphic>
          </wp:inline>
        </w:drawing>
      </w:r>
    </w:p>
    <w:p w14:paraId="4B99E428" w14:textId="77777777" w:rsidR="001915D3" w:rsidRDefault="001915D3" w:rsidP="00155C55">
      <w:pPr>
        <w:ind w:left="720"/>
        <w:contextualSpacing/>
        <w:rPr>
          <w:rFonts w:eastAsiaTheme="minorEastAsia"/>
        </w:rPr>
      </w:pPr>
    </w:p>
    <w:p w14:paraId="1F1CFB93" w14:textId="6BD4F6DE" w:rsidR="001915D3" w:rsidRDefault="001915D3" w:rsidP="00155C55">
      <w:pPr>
        <w:ind w:left="720"/>
        <w:contextualSpacing/>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w:t>
      </w:r>
      <w:proofErr w:type="gramStart"/>
      <w:r>
        <w:t xml:space="preserve">to </w:t>
      </w:r>
      <w:r w:rsidR="00980AB7">
        <w:t xml:space="preserve"> Order</w:t>
      </w:r>
      <w:proofErr w:type="gramEnd"/>
      <w:r w:rsidR="00980AB7">
        <w:t xml:space="preserve"> </w:t>
      </w:r>
      <w:r>
        <w:t>2, suggesting that the sequences are a reasonable fit to a first-order Markov chain process.</w:t>
      </w:r>
    </w:p>
    <w:p w14:paraId="79054471" w14:textId="57AAF9B1" w:rsidR="001915D3" w:rsidRDefault="001915D3" w:rsidP="00155C55">
      <w:pPr>
        <w:contextualSpacing/>
        <w:rPr>
          <w:rFonts w:eastAsiaTheme="minorEastAsia"/>
        </w:rPr>
      </w:pPr>
    </w:p>
    <w:p w14:paraId="35D7D15A" w14:textId="3F09D241" w:rsidR="001915D3" w:rsidRDefault="006A7807" w:rsidP="00155C55">
      <w:pPr>
        <w:ind w:left="720"/>
        <w:contextualSpacing/>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34" cy="1989264"/>
                    </a:xfrm>
                    <a:prstGeom prst="rect">
                      <a:avLst/>
                    </a:prstGeom>
                  </pic:spPr>
                </pic:pic>
              </a:graphicData>
            </a:graphic>
          </wp:inline>
        </w:drawing>
      </w:r>
    </w:p>
    <w:p w14:paraId="76D3EA8E" w14:textId="77777777" w:rsidR="002A78F2" w:rsidRDefault="002A78F2" w:rsidP="00155C55">
      <w:pPr>
        <w:ind w:left="720"/>
        <w:contextualSpacing/>
        <w:rPr>
          <w:rFonts w:eastAsiaTheme="minorEastAsia"/>
        </w:rPr>
      </w:pPr>
    </w:p>
    <w:p w14:paraId="3060D44F" w14:textId="0C38CCFF" w:rsidR="00951475" w:rsidRDefault="00951475" w:rsidP="00155C55">
      <w:pPr>
        <w:ind w:left="720"/>
        <w:contextualSpacing/>
        <w:rPr>
          <w:rFonts w:eastAsiaTheme="minorEastAsia"/>
        </w:rPr>
      </w:pPr>
      <w:r>
        <w:rPr>
          <w:rFonts w:eastAsiaTheme="minorEastAsia"/>
        </w:rPr>
        <w:t xml:space="preserve">Fig. S2. Boxplots for </w:t>
      </w:r>
      <w:proofErr w:type="spellStart"/>
      <w:r>
        <w:rPr>
          <w:rFonts w:eastAsiaTheme="minorEastAsia"/>
        </w:rPr>
        <w:t>Jaro</w:t>
      </w:r>
      <w:proofErr w:type="spellEnd"/>
      <w:r>
        <w:rPr>
          <w:rFonts w:eastAsiaTheme="minorEastAsia"/>
        </w:rPr>
        <w:t xml:space="preserve"> distances in 198 Mal bouts, 100 Fem bouts and 14 Cop bouts. Cop bouts are considerably more </w:t>
      </w:r>
      <w:proofErr w:type="gramStart"/>
      <w:r>
        <w:rPr>
          <w:rFonts w:eastAsiaTheme="minorEastAsia"/>
        </w:rPr>
        <w:t xml:space="preserve">similar </w:t>
      </w:r>
      <w:r w:rsidR="009351EF">
        <w:rPr>
          <w:rFonts w:eastAsiaTheme="minorEastAsia"/>
        </w:rPr>
        <w:t>to</w:t>
      </w:r>
      <w:proofErr w:type="gramEnd"/>
      <w:r w:rsidR="009351EF">
        <w:rPr>
          <w:rFonts w:eastAsiaTheme="minorEastAsia"/>
        </w:rPr>
        <w:t xml:space="preserve"> each other </w:t>
      </w:r>
      <w:r>
        <w:rPr>
          <w:rFonts w:eastAsiaTheme="minorEastAsia"/>
        </w:rPr>
        <w:t xml:space="preserve">(low </w:t>
      </w:r>
      <w:proofErr w:type="spellStart"/>
      <w:r>
        <w:rPr>
          <w:rFonts w:eastAsiaTheme="minorEastAsia"/>
        </w:rPr>
        <w:t>Jaro</w:t>
      </w:r>
      <w:proofErr w:type="spellEnd"/>
      <w:r>
        <w:rPr>
          <w:rFonts w:eastAsiaTheme="minorEastAsia"/>
        </w:rPr>
        <w:t xml:space="preserve"> distances), than are either Mal or Fem bouts. </w:t>
      </w:r>
    </w:p>
    <w:p w14:paraId="443E982D" w14:textId="431682E1" w:rsidR="00951475" w:rsidRDefault="00951475" w:rsidP="00155C55">
      <w:pPr>
        <w:ind w:left="720"/>
        <w:contextualSpacing/>
        <w:rPr>
          <w:rFonts w:eastAsiaTheme="minorEastAsia"/>
        </w:rPr>
      </w:pPr>
    </w:p>
    <w:p w14:paraId="10F9073D" w14:textId="77777777" w:rsidR="00C65C22" w:rsidRDefault="00C65C22" w:rsidP="00155C55">
      <w:pPr>
        <w:contextualSpacing/>
        <w:rPr>
          <w:color w:val="000000"/>
        </w:rPr>
      </w:pPr>
      <w:r>
        <w:rPr>
          <w:color w:val="000000"/>
        </w:rPr>
        <w:br w:type="page"/>
      </w:r>
    </w:p>
    <w:p w14:paraId="63437CB3" w14:textId="487A4D83" w:rsidR="00C65C22" w:rsidRPr="00CE4A6D" w:rsidRDefault="00CE4A6D" w:rsidP="00155C55">
      <w:pPr>
        <w:contextualSpacing/>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proofErr w:type="spellStart"/>
      <w:r w:rsidR="004E5018">
        <w:rPr>
          <w:color w:val="000000"/>
        </w:rPr>
        <w:t>behaviour</w:t>
      </w:r>
      <w:r w:rsidR="00C65C22" w:rsidRPr="007D74CC">
        <w:rPr>
          <w:color w:val="000000"/>
        </w:rPr>
        <w:t>al</w:t>
      </w:r>
      <w:proofErr w:type="spellEnd"/>
      <w:r w:rsidR="00C65C22" w:rsidRPr="007D74CC">
        <w:rPr>
          <w:color w:val="000000"/>
        </w:rPr>
        <w:t xml:space="preserve">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155C55">
            <w:pPr>
              <w:pStyle w:val="Caption"/>
              <w:widowControl w:val="0"/>
              <w:contextualSpacing/>
              <w:rPr>
                <w:i w:val="0"/>
                <w:color w:val="auto"/>
                <w:sz w:val="24"/>
              </w:rPr>
            </w:pPr>
          </w:p>
        </w:tc>
        <w:tc>
          <w:tcPr>
            <w:tcW w:w="0" w:type="auto"/>
          </w:tcPr>
          <w:p w14:paraId="2AFB2BFA" w14:textId="2B8CE2E3" w:rsidR="00C65C22" w:rsidRDefault="004E5018" w:rsidP="00155C55">
            <w:pPr>
              <w:pStyle w:val="Caption"/>
              <w:widowControl w:val="0"/>
              <w:contextualSpacing/>
              <w:rPr>
                <w:i w:val="0"/>
                <w:color w:val="auto"/>
                <w:sz w:val="24"/>
              </w:rPr>
            </w:pPr>
            <w:proofErr w:type="spellStart"/>
            <w:r>
              <w:rPr>
                <w:i w:val="0"/>
                <w:color w:val="auto"/>
                <w:sz w:val="24"/>
              </w:rPr>
              <w:t>Behaviour</w:t>
            </w:r>
            <w:proofErr w:type="spellEnd"/>
            <w:r w:rsidR="00C65C22">
              <w:rPr>
                <w:i w:val="0"/>
                <w:color w:val="auto"/>
                <w:sz w:val="24"/>
              </w:rPr>
              <w:t xml:space="preserve"> value in BORIS</w:t>
            </w:r>
          </w:p>
        </w:tc>
        <w:tc>
          <w:tcPr>
            <w:tcW w:w="0" w:type="auto"/>
          </w:tcPr>
          <w:p w14:paraId="00D2D703" w14:textId="181F5C79" w:rsidR="00C65C22" w:rsidRDefault="00C65C22" w:rsidP="00155C55">
            <w:pPr>
              <w:pStyle w:val="Caption"/>
              <w:widowControl w:val="0"/>
              <w:contextualSpacing/>
              <w:rPr>
                <w:i w:val="0"/>
                <w:color w:val="auto"/>
                <w:sz w:val="24"/>
              </w:rPr>
            </w:pPr>
            <w:r>
              <w:rPr>
                <w:i w:val="0"/>
                <w:color w:val="auto"/>
                <w:sz w:val="24"/>
              </w:rPr>
              <w:t>Frequency</w:t>
            </w:r>
          </w:p>
        </w:tc>
        <w:tc>
          <w:tcPr>
            <w:tcW w:w="3163" w:type="dxa"/>
          </w:tcPr>
          <w:p w14:paraId="338F429E" w14:textId="35035EB6" w:rsidR="00C65C22" w:rsidRDefault="00C65C22" w:rsidP="00155C55">
            <w:pPr>
              <w:pStyle w:val="Caption"/>
              <w:widowControl w:val="0"/>
              <w:contextualSpacing/>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0" w:type="auto"/>
            <w:vAlign w:val="bottom"/>
          </w:tcPr>
          <w:p w14:paraId="499B6A6B" w14:textId="5B4E4A94" w:rsidR="00C65C22" w:rsidRDefault="00C65C22" w:rsidP="00155C55">
            <w:pPr>
              <w:pStyle w:val="Caption"/>
              <w:widowControl w:val="0"/>
              <w:contextualSpacing/>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5E88741F" w14:textId="32971FB4" w:rsidR="00C65C22" w:rsidRDefault="003E041F" w:rsidP="00155C55">
            <w:pPr>
              <w:pStyle w:val="Caption"/>
              <w:widowControl w:val="0"/>
              <w:contextualSpacing/>
              <w:rPr>
                <w:i w:val="0"/>
                <w:color w:val="auto"/>
                <w:sz w:val="24"/>
              </w:rPr>
            </w:pPr>
            <w:r>
              <w:rPr>
                <w:i w:val="0"/>
                <w:color w:val="auto"/>
                <w:sz w:val="24"/>
              </w:rPr>
              <w:t xml:space="preserve">1. </w:t>
            </w:r>
            <w:proofErr w:type="spellStart"/>
            <w:r w:rsidR="00C65C22">
              <w:rPr>
                <w:i w:val="0"/>
                <w:color w:val="auto"/>
                <w:sz w:val="24"/>
              </w:rPr>
              <w:t>AttCop</w:t>
            </w:r>
            <w:proofErr w:type="spellEnd"/>
          </w:p>
        </w:tc>
      </w:tr>
      <w:tr w:rsidR="00C65C22" w14:paraId="6CA73743" w14:textId="77777777" w:rsidTr="00E1432C">
        <w:tc>
          <w:tcPr>
            <w:tcW w:w="0" w:type="auto"/>
            <w:vAlign w:val="bottom"/>
          </w:tcPr>
          <w:p w14:paraId="0DF2B844" w14:textId="5D3E0E43" w:rsidR="00C65C22" w:rsidRPr="00C65C22" w:rsidRDefault="00C65C22" w:rsidP="00155C55">
            <w:pPr>
              <w:pStyle w:val="Caption"/>
              <w:widowControl w:val="0"/>
              <w:contextualSpacing/>
              <w:rPr>
                <w:i w:val="0"/>
                <w:color w:val="auto"/>
                <w:sz w:val="24"/>
              </w:rPr>
            </w:pPr>
            <w:r w:rsidRPr="00C65C22">
              <w:rPr>
                <w:i w:val="0"/>
                <w:color w:val="000000"/>
                <w:sz w:val="22"/>
              </w:rPr>
              <w:t>2</w:t>
            </w:r>
          </w:p>
        </w:tc>
        <w:tc>
          <w:tcPr>
            <w:tcW w:w="0" w:type="auto"/>
            <w:vAlign w:val="bottom"/>
          </w:tcPr>
          <w:p w14:paraId="3393B5D0" w14:textId="30B61647" w:rsidR="00C65C22" w:rsidRDefault="00C65C22" w:rsidP="00155C55">
            <w:pPr>
              <w:pStyle w:val="Caption"/>
              <w:widowControl w:val="0"/>
              <w:contextualSpacing/>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155C55">
            <w:pPr>
              <w:pStyle w:val="Caption"/>
              <w:widowControl w:val="0"/>
              <w:contextualSpacing/>
              <w:rPr>
                <w:i w:val="0"/>
                <w:color w:val="auto"/>
                <w:sz w:val="24"/>
              </w:rPr>
            </w:pPr>
            <w:r w:rsidRPr="00C65C22">
              <w:rPr>
                <w:i w:val="0"/>
                <w:color w:val="000000"/>
                <w:sz w:val="22"/>
              </w:rPr>
              <w:t>55</w:t>
            </w:r>
          </w:p>
        </w:tc>
        <w:tc>
          <w:tcPr>
            <w:tcW w:w="3163" w:type="dxa"/>
          </w:tcPr>
          <w:p w14:paraId="15B21A4A" w14:textId="65CC1F64" w:rsidR="00C65C22" w:rsidRDefault="003E041F" w:rsidP="00155C55">
            <w:pPr>
              <w:pStyle w:val="Caption"/>
              <w:widowControl w:val="0"/>
              <w:contextualSpacing/>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155C55">
            <w:pPr>
              <w:pStyle w:val="Caption"/>
              <w:widowControl w:val="0"/>
              <w:contextualSpacing/>
              <w:rPr>
                <w:i w:val="0"/>
                <w:color w:val="auto"/>
                <w:sz w:val="24"/>
              </w:rPr>
            </w:pPr>
            <w:r w:rsidRPr="00C65C22">
              <w:rPr>
                <w:i w:val="0"/>
                <w:color w:val="000000"/>
                <w:sz w:val="22"/>
              </w:rPr>
              <w:t>3</w:t>
            </w:r>
          </w:p>
        </w:tc>
        <w:tc>
          <w:tcPr>
            <w:tcW w:w="0" w:type="auto"/>
            <w:vAlign w:val="bottom"/>
          </w:tcPr>
          <w:p w14:paraId="26A2BCB2" w14:textId="25E28A8A"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BowLeft</w:t>
            </w:r>
            <w:proofErr w:type="spellEnd"/>
          </w:p>
        </w:tc>
        <w:tc>
          <w:tcPr>
            <w:tcW w:w="0" w:type="auto"/>
            <w:vAlign w:val="bottom"/>
          </w:tcPr>
          <w:p w14:paraId="4C2DBB5A" w14:textId="7EE98B9F" w:rsidR="00C65C22" w:rsidRPr="00C65C22" w:rsidRDefault="00C65C22" w:rsidP="00155C55">
            <w:pPr>
              <w:pStyle w:val="Caption"/>
              <w:widowControl w:val="0"/>
              <w:contextualSpacing/>
              <w:rPr>
                <w:i w:val="0"/>
                <w:color w:val="auto"/>
                <w:sz w:val="24"/>
              </w:rPr>
            </w:pPr>
            <w:r w:rsidRPr="00C65C22">
              <w:rPr>
                <w:i w:val="0"/>
                <w:color w:val="000000"/>
                <w:sz w:val="22"/>
              </w:rPr>
              <w:t>695</w:t>
            </w:r>
          </w:p>
        </w:tc>
        <w:tc>
          <w:tcPr>
            <w:tcW w:w="3163" w:type="dxa"/>
          </w:tcPr>
          <w:p w14:paraId="11793880" w14:textId="1FBE159C" w:rsidR="00C65C22" w:rsidRDefault="003E041F" w:rsidP="00155C55">
            <w:pPr>
              <w:pStyle w:val="Caption"/>
              <w:widowControl w:val="0"/>
              <w:contextualSpacing/>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155C55">
            <w:pPr>
              <w:pStyle w:val="Caption"/>
              <w:widowControl w:val="0"/>
              <w:contextualSpacing/>
              <w:rPr>
                <w:i w:val="0"/>
                <w:color w:val="auto"/>
                <w:sz w:val="24"/>
              </w:rPr>
            </w:pPr>
            <w:r w:rsidRPr="00C65C22">
              <w:rPr>
                <w:i w:val="0"/>
                <w:color w:val="000000"/>
                <w:sz w:val="22"/>
              </w:rPr>
              <w:t>4</w:t>
            </w:r>
          </w:p>
        </w:tc>
        <w:tc>
          <w:tcPr>
            <w:tcW w:w="0" w:type="auto"/>
            <w:vAlign w:val="bottom"/>
          </w:tcPr>
          <w:p w14:paraId="69EB1C11" w14:textId="362950BC"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BowRight</w:t>
            </w:r>
            <w:proofErr w:type="spellEnd"/>
          </w:p>
        </w:tc>
        <w:tc>
          <w:tcPr>
            <w:tcW w:w="0" w:type="auto"/>
            <w:vAlign w:val="bottom"/>
          </w:tcPr>
          <w:p w14:paraId="7BA0B035" w14:textId="6A0B1336" w:rsidR="00C65C22" w:rsidRPr="00C65C22" w:rsidRDefault="00C65C22" w:rsidP="00155C55">
            <w:pPr>
              <w:pStyle w:val="Caption"/>
              <w:widowControl w:val="0"/>
              <w:contextualSpacing/>
              <w:rPr>
                <w:i w:val="0"/>
                <w:color w:val="auto"/>
                <w:sz w:val="24"/>
              </w:rPr>
            </w:pPr>
            <w:r w:rsidRPr="00C65C22">
              <w:rPr>
                <w:i w:val="0"/>
                <w:color w:val="000000"/>
                <w:sz w:val="22"/>
              </w:rPr>
              <w:t>677</w:t>
            </w:r>
          </w:p>
        </w:tc>
        <w:tc>
          <w:tcPr>
            <w:tcW w:w="3163" w:type="dxa"/>
          </w:tcPr>
          <w:p w14:paraId="5E94E101" w14:textId="3FBCDAC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155C55">
            <w:pPr>
              <w:pStyle w:val="Caption"/>
              <w:widowControl w:val="0"/>
              <w:contextualSpacing/>
              <w:rPr>
                <w:i w:val="0"/>
                <w:color w:val="auto"/>
                <w:sz w:val="24"/>
              </w:rPr>
            </w:pPr>
            <w:r w:rsidRPr="00C65C22">
              <w:rPr>
                <w:i w:val="0"/>
                <w:color w:val="000000"/>
                <w:sz w:val="22"/>
              </w:rPr>
              <w:t>5</w:t>
            </w:r>
          </w:p>
        </w:tc>
        <w:tc>
          <w:tcPr>
            <w:tcW w:w="0" w:type="auto"/>
            <w:vAlign w:val="bottom"/>
          </w:tcPr>
          <w:p w14:paraId="29249390" w14:textId="2E43A39F" w:rsidR="00C65C22" w:rsidRDefault="00C65C22" w:rsidP="00155C55">
            <w:pPr>
              <w:pStyle w:val="Caption"/>
              <w:widowControl w:val="0"/>
              <w:contextualSpacing/>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0986C020" w14:textId="77777777" w:rsidR="00C65C22" w:rsidRDefault="00C65C22" w:rsidP="00155C55">
            <w:pPr>
              <w:pStyle w:val="Caption"/>
              <w:widowControl w:val="0"/>
              <w:contextualSpacing/>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155C55">
            <w:pPr>
              <w:pStyle w:val="Caption"/>
              <w:widowControl w:val="0"/>
              <w:contextualSpacing/>
              <w:rPr>
                <w:i w:val="0"/>
                <w:color w:val="auto"/>
                <w:sz w:val="24"/>
              </w:rPr>
            </w:pPr>
            <w:r w:rsidRPr="00C65C22">
              <w:rPr>
                <w:i w:val="0"/>
                <w:color w:val="000000"/>
                <w:sz w:val="22"/>
              </w:rPr>
              <w:t>6</w:t>
            </w:r>
          </w:p>
        </w:tc>
        <w:tc>
          <w:tcPr>
            <w:tcW w:w="0" w:type="auto"/>
            <w:vAlign w:val="bottom"/>
          </w:tcPr>
          <w:p w14:paraId="30A43C4B" w14:textId="1516F60F" w:rsidR="00C65C22" w:rsidRDefault="00C65C22" w:rsidP="00155C55">
            <w:pPr>
              <w:pStyle w:val="Caption"/>
              <w:widowControl w:val="0"/>
              <w:contextualSpacing/>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3163" w:type="dxa"/>
          </w:tcPr>
          <w:p w14:paraId="3B2BF828" w14:textId="77777777" w:rsidR="00C65C22" w:rsidRDefault="00C65C22" w:rsidP="00155C55">
            <w:pPr>
              <w:pStyle w:val="Caption"/>
              <w:widowControl w:val="0"/>
              <w:contextualSpacing/>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155C55">
            <w:pPr>
              <w:pStyle w:val="Caption"/>
              <w:widowControl w:val="0"/>
              <w:contextualSpacing/>
              <w:rPr>
                <w:i w:val="0"/>
                <w:color w:val="auto"/>
                <w:sz w:val="24"/>
              </w:rPr>
            </w:pPr>
            <w:r w:rsidRPr="00C65C22">
              <w:rPr>
                <w:i w:val="0"/>
                <w:color w:val="000000"/>
                <w:sz w:val="22"/>
              </w:rPr>
              <w:t>7</w:t>
            </w:r>
          </w:p>
        </w:tc>
        <w:tc>
          <w:tcPr>
            <w:tcW w:w="0" w:type="auto"/>
            <w:vAlign w:val="bottom"/>
          </w:tcPr>
          <w:p w14:paraId="272DD6B3" w14:textId="32B53652"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HeadDownBowing</w:t>
            </w:r>
            <w:proofErr w:type="spellEnd"/>
          </w:p>
        </w:tc>
        <w:tc>
          <w:tcPr>
            <w:tcW w:w="0" w:type="auto"/>
            <w:vAlign w:val="bottom"/>
          </w:tcPr>
          <w:p w14:paraId="249249E6" w14:textId="6CF1C539" w:rsidR="00C65C22" w:rsidRPr="00C65C22" w:rsidRDefault="00C65C22" w:rsidP="00155C55">
            <w:pPr>
              <w:pStyle w:val="Caption"/>
              <w:widowControl w:val="0"/>
              <w:contextualSpacing/>
              <w:rPr>
                <w:i w:val="0"/>
                <w:color w:val="auto"/>
                <w:sz w:val="24"/>
              </w:rPr>
            </w:pPr>
            <w:r w:rsidRPr="00C65C22">
              <w:rPr>
                <w:i w:val="0"/>
                <w:color w:val="000000"/>
                <w:sz w:val="22"/>
              </w:rPr>
              <w:t>56</w:t>
            </w:r>
          </w:p>
        </w:tc>
        <w:tc>
          <w:tcPr>
            <w:tcW w:w="3163" w:type="dxa"/>
          </w:tcPr>
          <w:p w14:paraId="1B29D13A" w14:textId="77777777" w:rsidR="00C65C22" w:rsidRDefault="00C65C22" w:rsidP="00155C55">
            <w:pPr>
              <w:pStyle w:val="Caption"/>
              <w:widowControl w:val="0"/>
              <w:contextualSpacing/>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155C55">
            <w:pPr>
              <w:pStyle w:val="Caption"/>
              <w:widowControl w:val="0"/>
              <w:contextualSpacing/>
              <w:rPr>
                <w:i w:val="0"/>
                <w:color w:val="auto"/>
                <w:sz w:val="24"/>
              </w:rPr>
            </w:pPr>
            <w:r w:rsidRPr="00C65C22">
              <w:rPr>
                <w:i w:val="0"/>
                <w:color w:val="000000"/>
                <w:sz w:val="22"/>
              </w:rPr>
              <w:t>8</w:t>
            </w:r>
          </w:p>
        </w:tc>
        <w:tc>
          <w:tcPr>
            <w:tcW w:w="0" w:type="auto"/>
            <w:vAlign w:val="bottom"/>
          </w:tcPr>
          <w:p w14:paraId="1B2AB596" w14:textId="24EC4C30" w:rsidR="00C65C22" w:rsidRDefault="00C65C22" w:rsidP="00155C55">
            <w:pPr>
              <w:pStyle w:val="Caption"/>
              <w:widowControl w:val="0"/>
              <w:contextualSpacing/>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3163" w:type="dxa"/>
          </w:tcPr>
          <w:p w14:paraId="169F93F8" w14:textId="77777777" w:rsidR="00C65C22" w:rsidRDefault="00C65C22" w:rsidP="00155C55">
            <w:pPr>
              <w:pStyle w:val="Caption"/>
              <w:widowControl w:val="0"/>
              <w:contextualSpacing/>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155C55">
            <w:pPr>
              <w:pStyle w:val="Caption"/>
              <w:widowControl w:val="0"/>
              <w:contextualSpacing/>
              <w:rPr>
                <w:i w:val="0"/>
                <w:color w:val="auto"/>
                <w:sz w:val="24"/>
              </w:rPr>
            </w:pPr>
            <w:r w:rsidRPr="00C65C22">
              <w:rPr>
                <w:i w:val="0"/>
                <w:color w:val="000000"/>
                <w:sz w:val="22"/>
              </w:rPr>
              <w:t>9</w:t>
            </w:r>
          </w:p>
        </w:tc>
        <w:tc>
          <w:tcPr>
            <w:tcW w:w="0" w:type="auto"/>
            <w:vAlign w:val="bottom"/>
          </w:tcPr>
          <w:p w14:paraId="0352E1E6" w14:textId="59919EF8"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NeckTwist</w:t>
            </w:r>
            <w:proofErr w:type="spellEnd"/>
          </w:p>
        </w:tc>
        <w:tc>
          <w:tcPr>
            <w:tcW w:w="0" w:type="auto"/>
            <w:vAlign w:val="bottom"/>
          </w:tcPr>
          <w:p w14:paraId="1DB0F632" w14:textId="428C771F" w:rsidR="00C65C22" w:rsidRPr="00C65C22" w:rsidRDefault="00C65C22" w:rsidP="00155C55">
            <w:pPr>
              <w:pStyle w:val="Caption"/>
              <w:widowControl w:val="0"/>
              <w:contextualSpacing/>
              <w:rPr>
                <w:i w:val="0"/>
                <w:color w:val="auto"/>
                <w:sz w:val="24"/>
              </w:rPr>
            </w:pPr>
            <w:r w:rsidRPr="00C65C22">
              <w:rPr>
                <w:i w:val="0"/>
                <w:color w:val="000000"/>
                <w:sz w:val="22"/>
              </w:rPr>
              <w:t>1693</w:t>
            </w:r>
          </w:p>
        </w:tc>
        <w:tc>
          <w:tcPr>
            <w:tcW w:w="3163" w:type="dxa"/>
          </w:tcPr>
          <w:p w14:paraId="28E19424" w14:textId="4DAF60E2" w:rsidR="00C65C22" w:rsidRDefault="003E041F" w:rsidP="00155C55">
            <w:pPr>
              <w:pStyle w:val="Caption"/>
              <w:widowControl w:val="0"/>
              <w:contextualSpacing/>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155C55">
            <w:pPr>
              <w:pStyle w:val="Caption"/>
              <w:widowControl w:val="0"/>
              <w:contextualSpacing/>
              <w:rPr>
                <w:i w:val="0"/>
                <w:color w:val="auto"/>
                <w:sz w:val="24"/>
              </w:rPr>
            </w:pPr>
            <w:r w:rsidRPr="00C65C22">
              <w:rPr>
                <w:i w:val="0"/>
                <w:color w:val="000000"/>
                <w:sz w:val="22"/>
              </w:rPr>
              <w:t>10</w:t>
            </w:r>
          </w:p>
        </w:tc>
        <w:tc>
          <w:tcPr>
            <w:tcW w:w="0" w:type="auto"/>
            <w:vAlign w:val="bottom"/>
          </w:tcPr>
          <w:p w14:paraId="734CF266" w14:textId="4502F948" w:rsidR="00C65C22" w:rsidRDefault="00C65C22" w:rsidP="00155C55">
            <w:pPr>
              <w:pStyle w:val="Caption"/>
              <w:widowControl w:val="0"/>
              <w:contextualSpacing/>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155C55">
            <w:pPr>
              <w:pStyle w:val="Caption"/>
              <w:widowControl w:val="0"/>
              <w:contextualSpacing/>
              <w:rPr>
                <w:i w:val="0"/>
                <w:color w:val="auto"/>
                <w:sz w:val="24"/>
              </w:rPr>
            </w:pPr>
            <w:r w:rsidRPr="00C65C22">
              <w:rPr>
                <w:i w:val="0"/>
                <w:color w:val="000000"/>
                <w:sz w:val="22"/>
              </w:rPr>
              <w:t>79</w:t>
            </w:r>
          </w:p>
        </w:tc>
        <w:tc>
          <w:tcPr>
            <w:tcW w:w="3163" w:type="dxa"/>
          </w:tcPr>
          <w:p w14:paraId="0BFC54A7" w14:textId="77777777" w:rsidR="00C65C22" w:rsidRDefault="00C65C22" w:rsidP="00155C55">
            <w:pPr>
              <w:pStyle w:val="Caption"/>
              <w:widowControl w:val="0"/>
              <w:contextualSpacing/>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0" w:type="auto"/>
            <w:vAlign w:val="bottom"/>
          </w:tcPr>
          <w:p w14:paraId="0147563D" w14:textId="0CE58ACE" w:rsidR="00C65C22" w:rsidRDefault="00C65C22" w:rsidP="00155C55">
            <w:pPr>
              <w:pStyle w:val="Caption"/>
              <w:widowControl w:val="0"/>
              <w:contextualSpacing/>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3163" w:type="dxa"/>
          </w:tcPr>
          <w:p w14:paraId="034B793D" w14:textId="77777777" w:rsidR="00C65C22" w:rsidRDefault="00C65C22" w:rsidP="00155C55">
            <w:pPr>
              <w:pStyle w:val="Caption"/>
              <w:widowControl w:val="0"/>
              <w:contextualSpacing/>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155C55">
            <w:pPr>
              <w:pStyle w:val="Caption"/>
              <w:widowControl w:val="0"/>
              <w:contextualSpacing/>
              <w:rPr>
                <w:i w:val="0"/>
                <w:color w:val="auto"/>
                <w:sz w:val="24"/>
              </w:rPr>
            </w:pPr>
            <w:r w:rsidRPr="00C65C22">
              <w:rPr>
                <w:i w:val="0"/>
                <w:color w:val="000000"/>
                <w:sz w:val="22"/>
              </w:rPr>
              <w:t>12</w:t>
            </w:r>
          </w:p>
        </w:tc>
        <w:tc>
          <w:tcPr>
            <w:tcW w:w="0" w:type="auto"/>
            <w:vAlign w:val="bottom"/>
          </w:tcPr>
          <w:p w14:paraId="27123EAA" w14:textId="46B00827"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TafLF_Off</w:t>
            </w:r>
            <w:proofErr w:type="spellEnd"/>
          </w:p>
        </w:tc>
        <w:tc>
          <w:tcPr>
            <w:tcW w:w="0" w:type="auto"/>
            <w:vAlign w:val="bottom"/>
          </w:tcPr>
          <w:p w14:paraId="01FACD2A" w14:textId="6A358A1F"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3163" w:type="dxa"/>
          </w:tcPr>
          <w:p w14:paraId="0D9D69BA" w14:textId="77777777" w:rsidR="00C65C22" w:rsidRDefault="00C65C22" w:rsidP="00155C55">
            <w:pPr>
              <w:pStyle w:val="Caption"/>
              <w:widowControl w:val="0"/>
              <w:contextualSpacing/>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0" w:type="auto"/>
            <w:vAlign w:val="bottom"/>
          </w:tcPr>
          <w:p w14:paraId="3A7354BA" w14:textId="6BCC419F"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TafLF_On</w:t>
            </w:r>
            <w:proofErr w:type="spellEnd"/>
          </w:p>
        </w:tc>
        <w:tc>
          <w:tcPr>
            <w:tcW w:w="0" w:type="auto"/>
            <w:vAlign w:val="bottom"/>
          </w:tcPr>
          <w:p w14:paraId="75863D7B" w14:textId="15FE62A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39F196B0" w14:textId="77777777" w:rsidR="00C65C22" w:rsidRDefault="00C65C22" w:rsidP="00155C55">
            <w:pPr>
              <w:pStyle w:val="Caption"/>
              <w:widowControl w:val="0"/>
              <w:contextualSpacing/>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155C55">
            <w:pPr>
              <w:pStyle w:val="Caption"/>
              <w:widowControl w:val="0"/>
              <w:contextualSpacing/>
              <w:rPr>
                <w:i w:val="0"/>
                <w:color w:val="auto"/>
                <w:sz w:val="24"/>
              </w:rPr>
            </w:pPr>
            <w:r w:rsidRPr="00C65C22">
              <w:rPr>
                <w:i w:val="0"/>
                <w:color w:val="000000"/>
                <w:sz w:val="22"/>
              </w:rPr>
              <w:t>14</w:t>
            </w:r>
          </w:p>
        </w:tc>
        <w:tc>
          <w:tcPr>
            <w:tcW w:w="0" w:type="auto"/>
            <w:vAlign w:val="bottom"/>
          </w:tcPr>
          <w:p w14:paraId="4428F1AE" w14:textId="48C198B1" w:rsidR="00C65C22" w:rsidRDefault="00C65C22" w:rsidP="00155C55">
            <w:pPr>
              <w:pStyle w:val="Caption"/>
              <w:widowControl w:val="0"/>
              <w:contextualSpacing/>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3163" w:type="dxa"/>
          </w:tcPr>
          <w:p w14:paraId="4D16EF06" w14:textId="0635C413" w:rsidR="00C65C22" w:rsidRDefault="003E041F" w:rsidP="00155C55">
            <w:pPr>
              <w:pStyle w:val="Caption"/>
              <w:widowControl w:val="0"/>
              <w:contextualSpacing/>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155C55">
            <w:pPr>
              <w:pStyle w:val="Caption"/>
              <w:widowControl w:val="0"/>
              <w:contextualSpacing/>
              <w:rPr>
                <w:i w:val="0"/>
                <w:color w:val="auto"/>
                <w:sz w:val="24"/>
              </w:rPr>
            </w:pPr>
            <w:r w:rsidRPr="00C65C22">
              <w:rPr>
                <w:i w:val="0"/>
                <w:color w:val="000000"/>
                <w:sz w:val="22"/>
              </w:rPr>
              <w:t>15</w:t>
            </w:r>
          </w:p>
        </w:tc>
        <w:tc>
          <w:tcPr>
            <w:tcW w:w="0" w:type="auto"/>
            <w:vAlign w:val="bottom"/>
          </w:tcPr>
          <w:p w14:paraId="35958C3C" w14:textId="0F76028C" w:rsidR="00C65C22" w:rsidRDefault="00C65C22" w:rsidP="00155C55">
            <w:pPr>
              <w:pStyle w:val="Caption"/>
              <w:widowControl w:val="0"/>
              <w:contextualSpacing/>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1EF623B1" w14:textId="0E2BE720" w:rsidR="00C65C22" w:rsidRDefault="003E041F" w:rsidP="00155C55">
            <w:pPr>
              <w:pStyle w:val="Caption"/>
              <w:widowControl w:val="0"/>
              <w:contextualSpacing/>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155C55">
            <w:pPr>
              <w:pStyle w:val="Caption"/>
              <w:widowControl w:val="0"/>
              <w:contextualSpacing/>
              <w:rPr>
                <w:i w:val="0"/>
                <w:color w:val="auto"/>
                <w:sz w:val="24"/>
              </w:rPr>
            </w:pPr>
            <w:r w:rsidRPr="00C65C22">
              <w:rPr>
                <w:i w:val="0"/>
                <w:color w:val="000000"/>
                <w:sz w:val="22"/>
              </w:rPr>
              <w:t>16</w:t>
            </w:r>
          </w:p>
        </w:tc>
        <w:tc>
          <w:tcPr>
            <w:tcW w:w="0" w:type="auto"/>
            <w:vAlign w:val="bottom"/>
          </w:tcPr>
          <w:p w14:paraId="1BBCD90C" w14:textId="73EFC460" w:rsidR="00C65C22" w:rsidRDefault="00C65C22" w:rsidP="00155C55">
            <w:pPr>
              <w:pStyle w:val="Caption"/>
              <w:widowControl w:val="0"/>
              <w:contextualSpacing/>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155C55">
            <w:pPr>
              <w:pStyle w:val="Caption"/>
              <w:widowControl w:val="0"/>
              <w:contextualSpacing/>
              <w:rPr>
                <w:i w:val="0"/>
                <w:color w:val="auto"/>
                <w:sz w:val="24"/>
              </w:rPr>
            </w:pPr>
            <w:r w:rsidRPr="00C65C22">
              <w:rPr>
                <w:i w:val="0"/>
                <w:color w:val="000000"/>
                <w:sz w:val="22"/>
              </w:rPr>
              <w:t>1736</w:t>
            </w:r>
          </w:p>
        </w:tc>
        <w:tc>
          <w:tcPr>
            <w:tcW w:w="3163" w:type="dxa"/>
          </w:tcPr>
          <w:p w14:paraId="33B1C5CA" w14:textId="77777777" w:rsidR="00C65C22" w:rsidRDefault="00C65C22" w:rsidP="00155C55">
            <w:pPr>
              <w:pStyle w:val="Caption"/>
              <w:widowControl w:val="0"/>
              <w:contextualSpacing/>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155C55">
            <w:pPr>
              <w:pStyle w:val="Caption"/>
              <w:widowControl w:val="0"/>
              <w:contextualSpacing/>
              <w:rPr>
                <w:i w:val="0"/>
                <w:color w:val="auto"/>
                <w:sz w:val="24"/>
              </w:rPr>
            </w:pPr>
            <w:r w:rsidRPr="00C65C22">
              <w:rPr>
                <w:i w:val="0"/>
                <w:color w:val="000000"/>
                <w:sz w:val="22"/>
              </w:rPr>
              <w:t>17</w:t>
            </w:r>
          </w:p>
        </w:tc>
        <w:tc>
          <w:tcPr>
            <w:tcW w:w="0" w:type="auto"/>
            <w:vAlign w:val="bottom"/>
          </w:tcPr>
          <w:p w14:paraId="18E5675A" w14:textId="55058052" w:rsidR="00C65C22" w:rsidRDefault="00C65C22" w:rsidP="00155C55">
            <w:pPr>
              <w:pStyle w:val="Caption"/>
              <w:widowControl w:val="0"/>
              <w:contextualSpacing/>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155C55">
            <w:pPr>
              <w:pStyle w:val="Caption"/>
              <w:widowControl w:val="0"/>
              <w:contextualSpacing/>
              <w:rPr>
                <w:i w:val="0"/>
                <w:color w:val="auto"/>
                <w:sz w:val="24"/>
              </w:rPr>
            </w:pPr>
            <w:r w:rsidRPr="00C65C22">
              <w:rPr>
                <w:i w:val="0"/>
                <w:color w:val="000000"/>
                <w:sz w:val="22"/>
              </w:rPr>
              <w:t>978</w:t>
            </w:r>
          </w:p>
        </w:tc>
        <w:tc>
          <w:tcPr>
            <w:tcW w:w="3163" w:type="dxa"/>
          </w:tcPr>
          <w:p w14:paraId="18D1594E" w14:textId="77777777" w:rsidR="00C65C22" w:rsidRDefault="00C65C22" w:rsidP="00155C55">
            <w:pPr>
              <w:pStyle w:val="Caption"/>
              <w:widowControl w:val="0"/>
              <w:contextualSpacing/>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155C55">
            <w:pPr>
              <w:pStyle w:val="Caption"/>
              <w:widowControl w:val="0"/>
              <w:contextualSpacing/>
              <w:rPr>
                <w:i w:val="0"/>
                <w:color w:val="auto"/>
                <w:sz w:val="24"/>
              </w:rPr>
            </w:pPr>
            <w:r w:rsidRPr="00C65C22">
              <w:rPr>
                <w:i w:val="0"/>
                <w:color w:val="000000"/>
                <w:sz w:val="22"/>
              </w:rPr>
              <w:t>18</w:t>
            </w:r>
          </w:p>
        </w:tc>
        <w:tc>
          <w:tcPr>
            <w:tcW w:w="0" w:type="auto"/>
            <w:vAlign w:val="bottom"/>
          </w:tcPr>
          <w:p w14:paraId="6A777CC6" w14:textId="372A42A3" w:rsidR="00C65C22" w:rsidRDefault="00C65C22" w:rsidP="00155C55">
            <w:pPr>
              <w:pStyle w:val="Caption"/>
              <w:widowControl w:val="0"/>
              <w:contextualSpacing/>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1D942EC6" w14:textId="6F76B484" w:rsidR="00C65C22" w:rsidRDefault="003E041F" w:rsidP="00155C55">
            <w:pPr>
              <w:pStyle w:val="Caption"/>
              <w:widowControl w:val="0"/>
              <w:contextualSpacing/>
              <w:rPr>
                <w:i w:val="0"/>
                <w:color w:val="auto"/>
                <w:sz w:val="24"/>
              </w:rPr>
            </w:pPr>
            <w:r>
              <w:rPr>
                <w:i w:val="0"/>
                <w:color w:val="auto"/>
                <w:sz w:val="24"/>
              </w:rPr>
              <w:t xml:space="preserve">7. </w:t>
            </w:r>
            <w:proofErr w:type="spellStart"/>
            <w:r>
              <w:rPr>
                <w:i w:val="0"/>
                <w:color w:val="auto"/>
                <w:sz w:val="24"/>
              </w:rPr>
              <w:t>Fff</w:t>
            </w:r>
            <w:proofErr w:type="spellEnd"/>
          </w:p>
        </w:tc>
      </w:tr>
      <w:tr w:rsidR="00C65C22" w14:paraId="31240ECD" w14:textId="77777777" w:rsidTr="00E1432C">
        <w:tc>
          <w:tcPr>
            <w:tcW w:w="0" w:type="auto"/>
            <w:vAlign w:val="bottom"/>
          </w:tcPr>
          <w:p w14:paraId="35CEFE1C" w14:textId="42842DD2" w:rsidR="00C65C22" w:rsidRPr="00C65C22" w:rsidRDefault="00C65C22" w:rsidP="00155C55">
            <w:pPr>
              <w:pStyle w:val="Caption"/>
              <w:widowControl w:val="0"/>
              <w:contextualSpacing/>
              <w:rPr>
                <w:i w:val="0"/>
                <w:color w:val="auto"/>
                <w:sz w:val="24"/>
              </w:rPr>
            </w:pPr>
            <w:r w:rsidRPr="00C65C22">
              <w:rPr>
                <w:i w:val="0"/>
                <w:color w:val="000000"/>
                <w:sz w:val="22"/>
              </w:rPr>
              <w:t>19</w:t>
            </w:r>
          </w:p>
        </w:tc>
        <w:tc>
          <w:tcPr>
            <w:tcW w:w="0" w:type="auto"/>
            <w:vAlign w:val="bottom"/>
          </w:tcPr>
          <w:p w14:paraId="60F73AC8" w14:textId="63DE9ED7" w:rsidR="00C65C22" w:rsidRDefault="00C65C22" w:rsidP="00155C55">
            <w:pPr>
              <w:pStyle w:val="Caption"/>
              <w:widowControl w:val="0"/>
              <w:contextualSpacing/>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4588EE20" w14:textId="4464477E" w:rsidR="00C65C22" w:rsidRDefault="003E041F" w:rsidP="00155C55">
            <w:pPr>
              <w:pStyle w:val="Caption"/>
              <w:widowControl w:val="0"/>
              <w:contextualSpacing/>
              <w:rPr>
                <w:i w:val="0"/>
                <w:color w:val="auto"/>
                <w:sz w:val="24"/>
              </w:rPr>
            </w:pPr>
            <w:r>
              <w:rPr>
                <w:i w:val="0"/>
                <w:color w:val="auto"/>
                <w:sz w:val="24"/>
              </w:rPr>
              <w:t xml:space="preserve">8. </w:t>
            </w:r>
            <w:proofErr w:type="spellStart"/>
            <w:r>
              <w:rPr>
                <w:i w:val="0"/>
                <w:color w:val="auto"/>
                <w:sz w:val="24"/>
              </w:rPr>
              <w:t>FOn</w:t>
            </w:r>
            <w:proofErr w:type="spellEnd"/>
          </w:p>
        </w:tc>
      </w:tr>
      <w:tr w:rsidR="00C65C22" w14:paraId="76549AFB" w14:textId="77777777" w:rsidTr="00E1432C">
        <w:tc>
          <w:tcPr>
            <w:tcW w:w="0" w:type="auto"/>
            <w:vAlign w:val="bottom"/>
          </w:tcPr>
          <w:p w14:paraId="4F58ABC2" w14:textId="518370B7" w:rsidR="00C65C22" w:rsidRPr="00C65C22" w:rsidRDefault="00C65C22" w:rsidP="00155C55">
            <w:pPr>
              <w:pStyle w:val="Caption"/>
              <w:widowControl w:val="0"/>
              <w:contextualSpacing/>
              <w:rPr>
                <w:i w:val="0"/>
                <w:color w:val="auto"/>
                <w:sz w:val="24"/>
              </w:rPr>
            </w:pPr>
            <w:r w:rsidRPr="00C65C22">
              <w:rPr>
                <w:i w:val="0"/>
                <w:color w:val="000000"/>
                <w:sz w:val="22"/>
              </w:rPr>
              <w:t>20</w:t>
            </w:r>
          </w:p>
        </w:tc>
        <w:tc>
          <w:tcPr>
            <w:tcW w:w="0" w:type="auto"/>
            <w:vAlign w:val="bottom"/>
          </w:tcPr>
          <w:p w14:paraId="17C210CA" w14:textId="3A87FA11" w:rsidR="00C65C22" w:rsidRDefault="00C65C22" w:rsidP="00155C55">
            <w:pPr>
              <w:pStyle w:val="Caption"/>
              <w:widowControl w:val="0"/>
              <w:contextualSpacing/>
              <w:rPr>
                <w:i w:val="0"/>
                <w:color w:val="auto"/>
                <w:sz w:val="24"/>
              </w:rPr>
            </w:pPr>
            <w:r w:rsidRPr="007D74CC">
              <w:rPr>
                <w:color w:val="000000"/>
                <w:sz w:val="22"/>
              </w:rPr>
              <w:t xml:space="preserve">Female </w:t>
            </w:r>
            <w:proofErr w:type="spellStart"/>
            <w:r w:rsidRPr="007D74CC">
              <w:rPr>
                <w:color w:val="000000"/>
                <w:sz w:val="22"/>
              </w:rPr>
              <w:t>ResponseToALAD</w:t>
            </w:r>
            <w:proofErr w:type="spellEnd"/>
          </w:p>
        </w:tc>
        <w:tc>
          <w:tcPr>
            <w:tcW w:w="0" w:type="auto"/>
            <w:vAlign w:val="bottom"/>
          </w:tcPr>
          <w:p w14:paraId="0B0ACAA9" w14:textId="0D9132FF" w:rsidR="00C65C22" w:rsidRPr="00C65C22" w:rsidRDefault="00C65C22" w:rsidP="00155C55">
            <w:pPr>
              <w:pStyle w:val="Caption"/>
              <w:widowControl w:val="0"/>
              <w:contextualSpacing/>
              <w:rPr>
                <w:i w:val="0"/>
                <w:color w:val="auto"/>
                <w:sz w:val="24"/>
              </w:rPr>
            </w:pPr>
            <w:r w:rsidRPr="00C65C22">
              <w:rPr>
                <w:i w:val="0"/>
                <w:color w:val="000000"/>
                <w:sz w:val="22"/>
              </w:rPr>
              <w:t>188</w:t>
            </w:r>
          </w:p>
        </w:tc>
        <w:tc>
          <w:tcPr>
            <w:tcW w:w="3163" w:type="dxa"/>
          </w:tcPr>
          <w:p w14:paraId="380D6E7E" w14:textId="77777777" w:rsidR="00C65C22" w:rsidRDefault="00C65C22" w:rsidP="00155C55">
            <w:pPr>
              <w:pStyle w:val="Caption"/>
              <w:widowControl w:val="0"/>
              <w:contextualSpacing/>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0" w:type="auto"/>
            <w:vAlign w:val="bottom"/>
          </w:tcPr>
          <w:p w14:paraId="4386FF2A" w14:textId="35C2C557" w:rsidR="00C65C22" w:rsidRDefault="00C65C22" w:rsidP="00155C55">
            <w:pPr>
              <w:pStyle w:val="Caption"/>
              <w:widowControl w:val="0"/>
              <w:contextualSpacing/>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155C55">
            <w:pPr>
              <w:pStyle w:val="Caption"/>
              <w:widowControl w:val="0"/>
              <w:contextualSpacing/>
              <w:rPr>
                <w:i w:val="0"/>
                <w:color w:val="auto"/>
                <w:sz w:val="24"/>
              </w:rPr>
            </w:pPr>
            <w:r w:rsidRPr="00C65C22">
              <w:rPr>
                <w:i w:val="0"/>
                <w:color w:val="000000"/>
                <w:sz w:val="22"/>
              </w:rPr>
              <w:t>1924</w:t>
            </w:r>
          </w:p>
        </w:tc>
        <w:tc>
          <w:tcPr>
            <w:tcW w:w="3163" w:type="dxa"/>
          </w:tcPr>
          <w:p w14:paraId="37516970" w14:textId="77777777" w:rsidR="00C65C22" w:rsidRDefault="00C65C22" w:rsidP="00155C55">
            <w:pPr>
              <w:pStyle w:val="Caption"/>
              <w:widowControl w:val="0"/>
              <w:contextualSpacing/>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155C55">
            <w:pPr>
              <w:pStyle w:val="Caption"/>
              <w:widowControl w:val="0"/>
              <w:contextualSpacing/>
              <w:rPr>
                <w:i w:val="0"/>
                <w:color w:val="auto"/>
                <w:sz w:val="24"/>
              </w:rPr>
            </w:pPr>
            <w:r w:rsidRPr="00C65C22">
              <w:rPr>
                <w:i w:val="0"/>
                <w:color w:val="000000"/>
                <w:sz w:val="22"/>
              </w:rPr>
              <w:t>22</w:t>
            </w:r>
          </w:p>
        </w:tc>
        <w:tc>
          <w:tcPr>
            <w:tcW w:w="0" w:type="auto"/>
            <w:vAlign w:val="bottom"/>
          </w:tcPr>
          <w:p w14:paraId="18B43383" w14:textId="35E43DFA" w:rsidR="00C65C22" w:rsidRDefault="00C65C22" w:rsidP="00155C55">
            <w:pPr>
              <w:pStyle w:val="Caption"/>
              <w:widowControl w:val="0"/>
              <w:contextualSpacing/>
              <w:rPr>
                <w:i w:val="0"/>
                <w:color w:val="auto"/>
                <w:sz w:val="24"/>
              </w:rPr>
            </w:pPr>
            <w:proofErr w:type="spellStart"/>
            <w:r w:rsidRPr="007D74CC">
              <w:rPr>
                <w:color w:val="000000"/>
                <w:sz w:val="22"/>
              </w:rPr>
              <w:t>FemaleSwitch</w:t>
            </w:r>
            <w:proofErr w:type="spellEnd"/>
          </w:p>
        </w:tc>
        <w:tc>
          <w:tcPr>
            <w:tcW w:w="0" w:type="auto"/>
            <w:vAlign w:val="bottom"/>
          </w:tcPr>
          <w:p w14:paraId="5428D938" w14:textId="102A764A" w:rsidR="00C65C22" w:rsidRPr="00C65C22" w:rsidRDefault="00C65C22" w:rsidP="00155C55">
            <w:pPr>
              <w:pStyle w:val="Caption"/>
              <w:widowControl w:val="0"/>
              <w:contextualSpacing/>
              <w:rPr>
                <w:i w:val="0"/>
                <w:color w:val="auto"/>
                <w:sz w:val="24"/>
              </w:rPr>
            </w:pPr>
            <w:r w:rsidRPr="00C65C22">
              <w:rPr>
                <w:i w:val="0"/>
                <w:color w:val="000000"/>
                <w:sz w:val="22"/>
              </w:rPr>
              <w:t>406</w:t>
            </w:r>
          </w:p>
        </w:tc>
        <w:tc>
          <w:tcPr>
            <w:tcW w:w="3163" w:type="dxa"/>
          </w:tcPr>
          <w:p w14:paraId="3E220EC3" w14:textId="77777777" w:rsidR="00C65C22" w:rsidRDefault="00C65C22" w:rsidP="00155C55">
            <w:pPr>
              <w:pStyle w:val="Caption"/>
              <w:widowControl w:val="0"/>
              <w:contextualSpacing/>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155C55">
            <w:pPr>
              <w:pStyle w:val="Caption"/>
              <w:widowControl w:val="0"/>
              <w:contextualSpacing/>
              <w:rPr>
                <w:i w:val="0"/>
                <w:color w:val="auto"/>
                <w:sz w:val="24"/>
              </w:rPr>
            </w:pPr>
            <w:r w:rsidRPr="00C65C22">
              <w:rPr>
                <w:i w:val="0"/>
                <w:color w:val="000000"/>
                <w:sz w:val="22"/>
              </w:rPr>
              <w:t>23</w:t>
            </w:r>
          </w:p>
        </w:tc>
        <w:tc>
          <w:tcPr>
            <w:tcW w:w="0" w:type="auto"/>
            <w:vAlign w:val="bottom"/>
          </w:tcPr>
          <w:p w14:paraId="6CFAD78D" w14:textId="12B63A7D" w:rsidR="00C65C22" w:rsidRDefault="00C65C22" w:rsidP="00155C55">
            <w:pPr>
              <w:pStyle w:val="Caption"/>
              <w:widowControl w:val="0"/>
              <w:contextualSpacing/>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155C55">
            <w:pPr>
              <w:pStyle w:val="Caption"/>
              <w:widowControl w:val="0"/>
              <w:contextualSpacing/>
              <w:rPr>
                <w:i w:val="0"/>
                <w:color w:val="auto"/>
                <w:sz w:val="24"/>
              </w:rPr>
            </w:pPr>
            <w:r w:rsidRPr="00C65C22">
              <w:rPr>
                <w:i w:val="0"/>
                <w:color w:val="000000"/>
                <w:sz w:val="22"/>
              </w:rPr>
              <w:t>1104</w:t>
            </w:r>
          </w:p>
        </w:tc>
        <w:tc>
          <w:tcPr>
            <w:tcW w:w="3163" w:type="dxa"/>
          </w:tcPr>
          <w:p w14:paraId="325ED00A" w14:textId="5D973D99" w:rsidR="00C65C22" w:rsidRDefault="003E041F" w:rsidP="00155C55">
            <w:pPr>
              <w:pStyle w:val="Caption"/>
              <w:widowControl w:val="0"/>
              <w:contextualSpacing/>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0" w:type="auto"/>
            <w:vAlign w:val="bottom"/>
          </w:tcPr>
          <w:p w14:paraId="6EDCF0F3" w14:textId="65EAEFD2"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BowLeft</w:t>
            </w:r>
            <w:proofErr w:type="spellEnd"/>
          </w:p>
        </w:tc>
        <w:tc>
          <w:tcPr>
            <w:tcW w:w="0" w:type="auto"/>
            <w:vAlign w:val="bottom"/>
          </w:tcPr>
          <w:p w14:paraId="2D148A85" w14:textId="00FF328B" w:rsidR="00C65C22" w:rsidRPr="00C65C22" w:rsidRDefault="00C65C22" w:rsidP="00155C55">
            <w:pPr>
              <w:pStyle w:val="Caption"/>
              <w:widowControl w:val="0"/>
              <w:contextualSpacing/>
              <w:rPr>
                <w:i w:val="0"/>
                <w:color w:val="auto"/>
                <w:sz w:val="24"/>
              </w:rPr>
            </w:pPr>
            <w:r w:rsidRPr="00C65C22">
              <w:rPr>
                <w:i w:val="0"/>
                <w:color w:val="000000"/>
                <w:sz w:val="22"/>
              </w:rPr>
              <w:t>8088</w:t>
            </w:r>
          </w:p>
        </w:tc>
        <w:tc>
          <w:tcPr>
            <w:tcW w:w="3163" w:type="dxa"/>
          </w:tcPr>
          <w:p w14:paraId="0812EE0E" w14:textId="259D7790" w:rsidR="00C65C22" w:rsidRDefault="003E041F" w:rsidP="00155C55">
            <w:pPr>
              <w:pStyle w:val="Caption"/>
              <w:widowControl w:val="0"/>
              <w:contextualSpacing/>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0" w:type="auto"/>
            <w:vAlign w:val="bottom"/>
          </w:tcPr>
          <w:p w14:paraId="4FF358ED" w14:textId="706D1B36"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BowRight</w:t>
            </w:r>
            <w:proofErr w:type="spellEnd"/>
          </w:p>
        </w:tc>
        <w:tc>
          <w:tcPr>
            <w:tcW w:w="0" w:type="auto"/>
            <w:vAlign w:val="bottom"/>
          </w:tcPr>
          <w:p w14:paraId="45A7508B" w14:textId="24B9DD02" w:rsidR="00C65C22" w:rsidRPr="00C65C22" w:rsidRDefault="00C65C22" w:rsidP="00155C55">
            <w:pPr>
              <w:pStyle w:val="Caption"/>
              <w:widowControl w:val="0"/>
              <w:contextualSpacing/>
              <w:rPr>
                <w:i w:val="0"/>
                <w:color w:val="auto"/>
                <w:sz w:val="24"/>
              </w:rPr>
            </w:pPr>
            <w:r w:rsidRPr="00C65C22">
              <w:rPr>
                <w:i w:val="0"/>
                <w:color w:val="000000"/>
                <w:sz w:val="22"/>
              </w:rPr>
              <w:t>7950</w:t>
            </w:r>
          </w:p>
        </w:tc>
        <w:tc>
          <w:tcPr>
            <w:tcW w:w="3163" w:type="dxa"/>
          </w:tcPr>
          <w:p w14:paraId="3EC9B32C" w14:textId="68DE11BA"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0" w:type="auto"/>
            <w:vAlign w:val="bottom"/>
          </w:tcPr>
          <w:p w14:paraId="2A487512" w14:textId="4DD9A214" w:rsidR="00C65C22" w:rsidRDefault="00C65C22" w:rsidP="00155C55">
            <w:pPr>
              <w:pStyle w:val="Caption"/>
              <w:widowControl w:val="0"/>
              <w:contextualSpacing/>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155C55">
            <w:pPr>
              <w:pStyle w:val="Caption"/>
              <w:widowControl w:val="0"/>
              <w:contextualSpacing/>
              <w:rPr>
                <w:i w:val="0"/>
                <w:color w:val="auto"/>
                <w:sz w:val="24"/>
              </w:rPr>
            </w:pPr>
            <w:r w:rsidRPr="00C65C22">
              <w:rPr>
                <w:i w:val="0"/>
                <w:color w:val="000000"/>
                <w:sz w:val="22"/>
              </w:rPr>
              <w:t>296</w:t>
            </w:r>
          </w:p>
        </w:tc>
        <w:tc>
          <w:tcPr>
            <w:tcW w:w="3163" w:type="dxa"/>
          </w:tcPr>
          <w:p w14:paraId="36D76190" w14:textId="23BCA1FB" w:rsidR="00C65C22" w:rsidRDefault="003E041F" w:rsidP="00155C55">
            <w:pPr>
              <w:pStyle w:val="Caption"/>
              <w:widowControl w:val="0"/>
              <w:contextualSpacing/>
              <w:rPr>
                <w:i w:val="0"/>
                <w:color w:val="auto"/>
                <w:sz w:val="24"/>
              </w:rPr>
            </w:pPr>
            <w:r>
              <w:rPr>
                <w:i w:val="0"/>
                <w:color w:val="auto"/>
                <w:sz w:val="24"/>
              </w:rPr>
              <w:t xml:space="preserve">11. </w:t>
            </w:r>
            <w:proofErr w:type="spellStart"/>
            <w:r>
              <w:rPr>
                <w:i w:val="0"/>
                <w:color w:val="auto"/>
                <w:sz w:val="24"/>
              </w:rPr>
              <w:t>HafB</w:t>
            </w:r>
            <w:proofErr w:type="spellEnd"/>
            <w:r>
              <w:rPr>
                <w:i w:val="0"/>
                <w:color w:val="auto"/>
                <w:sz w:val="24"/>
              </w:rPr>
              <w:t xml:space="preserve">  </w:t>
            </w:r>
          </w:p>
        </w:tc>
      </w:tr>
      <w:tr w:rsidR="00C65C22" w14:paraId="05733000" w14:textId="77777777" w:rsidTr="00E1432C">
        <w:tc>
          <w:tcPr>
            <w:tcW w:w="0" w:type="auto"/>
            <w:vAlign w:val="bottom"/>
          </w:tcPr>
          <w:p w14:paraId="0319AEEC" w14:textId="76EA08CD" w:rsidR="00C65C22" w:rsidRPr="00C65C22" w:rsidRDefault="00C65C22" w:rsidP="00155C55">
            <w:pPr>
              <w:pStyle w:val="Caption"/>
              <w:widowControl w:val="0"/>
              <w:contextualSpacing/>
              <w:rPr>
                <w:i w:val="0"/>
                <w:color w:val="auto"/>
                <w:sz w:val="24"/>
              </w:rPr>
            </w:pPr>
            <w:r w:rsidRPr="00C65C22">
              <w:rPr>
                <w:i w:val="0"/>
                <w:color w:val="000000"/>
                <w:sz w:val="22"/>
              </w:rPr>
              <w:t>27</w:t>
            </w:r>
          </w:p>
        </w:tc>
        <w:tc>
          <w:tcPr>
            <w:tcW w:w="0" w:type="auto"/>
            <w:vAlign w:val="bottom"/>
          </w:tcPr>
          <w:p w14:paraId="0B5848B6" w14:textId="0B60A0AE" w:rsidR="00C65C22" w:rsidRDefault="00C65C22" w:rsidP="00155C55">
            <w:pPr>
              <w:pStyle w:val="Caption"/>
              <w:widowControl w:val="0"/>
              <w:contextualSpacing/>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155C55">
            <w:pPr>
              <w:pStyle w:val="Caption"/>
              <w:widowControl w:val="0"/>
              <w:contextualSpacing/>
              <w:rPr>
                <w:i w:val="0"/>
                <w:color w:val="auto"/>
                <w:sz w:val="24"/>
              </w:rPr>
            </w:pPr>
            <w:r w:rsidRPr="00C65C22">
              <w:rPr>
                <w:i w:val="0"/>
                <w:color w:val="000000"/>
                <w:sz w:val="22"/>
              </w:rPr>
              <w:t>258</w:t>
            </w:r>
          </w:p>
        </w:tc>
        <w:tc>
          <w:tcPr>
            <w:tcW w:w="3163" w:type="dxa"/>
          </w:tcPr>
          <w:p w14:paraId="3781B114" w14:textId="2B99AEBC"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HafB</w:t>
            </w:r>
            <w:proofErr w:type="spellEnd"/>
          </w:p>
        </w:tc>
      </w:tr>
      <w:tr w:rsidR="00C65C22" w14:paraId="0F068FA7" w14:textId="77777777" w:rsidTr="00E1432C">
        <w:tc>
          <w:tcPr>
            <w:tcW w:w="0" w:type="auto"/>
            <w:vAlign w:val="bottom"/>
          </w:tcPr>
          <w:p w14:paraId="2F051A69" w14:textId="5D684D93"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0" w:type="auto"/>
            <w:vAlign w:val="bottom"/>
          </w:tcPr>
          <w:p w14:paraId="71D300A3" w14:textId="0574F0E0"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HeadDownBowing</w:t>
            </w:r>
            <w:proofErr w:type="spellEnd"/>
          </w:p>
        </w:tc>
        <w:tc>
          <w:tcPr>
            <w:tcW w:w="0" w:type="auto"/>
            <w:vAlign w:val="bottom"/>
          </w:tcPr>
          <w:p w14:paraId="46CC6CE4" w14:textId="72496723" w:rsidR="00C65C22" w:rsidRPr="00C65C22" w:rsidRDefault="00C65C22" w:rsidP="00155C55">
            <w:pPr>
              <w:pStyle w:val="Caption"/>
              <w:widowControl w:val="0"/>
              <w:contextualSpacing/>
              <w:rPr>
                <w:i w:val="0"/>
                <w:color w:val="auto"/>
                <w:sz w:val="24"/>
              </w:rPr>
            </w:pPr>
            <w:r w:rsidRPr="00C65C22">
              <w:rPr>
                <w:i w:val="0"/>
                <w:color w:val="000000"/>
                <w:sz w:val="22"/>
              </w:rPr>
              <w:t>2361</w:t>
            </w:r>
          </w:p>
        </w:tc>
        <w:tc>
          <w:tcPr>
            <w:tcW w:w="3163" w:type="dxa"/>
          </w:tcPr>
          <w:p w14:paraId="2B7A5473" w14:textId="6A5DA35A" w:rsidR="00C65C22" w:rsidRDefault="003E041F" w:rsidP="00155C55">
            <w:pPr>
              <w:pStyle w:val="Caption"/>
              <w:widowControl w:val="0"/>
              <w:contextualSpacing/>
              <w:rPr>
                <w:i w:val="0"/>
                <w:color w:val="auto"/>
                <w:sz w:val="24"/>
              </w:rPr>
            </w:pPr>
            <w:r>
              <w:rPr>
                <w:i w:val="0"/>
                <w:color w:val="auto"/>
                <w:sz w:val="24"/>
              </w:rPr>
              <w:t xml:space="preserve">12. </w:t>
            </w:r>
            <w:proofErr w:type="spellStart"/>
            <w:r>
              <w:rPr>
                <w:i w:val="0"/>
                <w:color w:val="auto"/>
                <w:sz w:val="24"/>
              </w:rPr>
              <w:t>HdBw</w:t>
            </w:r>
            <w:proofErr w:type="spellEnd"/>
          </w:p>
        </w:tc>
      </w:tr>
      <w:tr w:rsidR="00C65C22" w14:paraId="098B71BA" w14:textId="77777777" w:rsidTr="00E1432C">
        <w:tc>
          <w:tcPr>
            <w:tcW w:w="0" w:type="auto"/>
            <w:vAlign w:val="bottom"/>
          </w:tcPr>
          <w:p w14:paraId="09C1C546" w14:textId="0506988A" w:rsidR="00C65C22" w:rsidRPr="00C65C22" w:rsidRDefault="00C65C22" w:rsidP="00155C55">
            <w:pPr>
              <w:pStyle w:val="Caption"/>
              <w:widowControl w:val="0"/>
              <w:contextualSpacing/>
              <w:rPr>
                <w:i w:val="0"/>
                <w:color w:val="auto"/>
                <w:sz w:val="24"/>
              </w:rPr>
            </w:pPr>
            <w:r w:rsidRPr="00C65C22">
              <w:rPr>
                <w:i w:val="0"/>
                <w:color w:val="000000"/>
                <w:sz w:val="22"/>
              </w:rPr>
              <w:t>29</w:t>
            </w:r>
          </w:p>
        </w:tc>
        <w:tc>
          <w:tcPr>
            <w:tcW w:w="0" w:type="auto"/>
            <w:vAlign w:val="bottom"/>
          </w:tcPr>
          <w:p w14:paraId="69B9CC78" w14:textId="69168C1F"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Metronome_Left</w:t>
            </w:r>
            <w:proofErr w:type="spellEnd"/>
          </w:p>
        </w:tc>
        <w:tc>
          <w:tcPr>
            <w:tcW w:w="0" w:type="auto"/>
            <w:vAlign w:val="bottom"/>
          </w:tcPr>
          <w:p w14:paraId="17E600B9" w14:textId="210A5EA0"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6DB6669C" w14:textId="1F9483F6" w:rsidR="00C65C22" w:rsidRDefault="003E041F" w:rsidP="00155C55">
            <w:pPr>
              <w:pStyle w:val="Caption"/>
              <w:widowControl w:val="0"/>
              <w:contextualSpacing/>
              <w:rPr>
                <w:i w:val="0"/>
                <w:color w:val="auto"/>
                <w:sz w:val="24"/>
              </w:rPr>
            </w:pPr>
            <w:r>
              <w:rPr>
                <w:i w:val="0"/>
                <w:color w:val="auto"/>
                <w:sz w:val="24"/>
              </w:rPr>
              <w:t xml:space="preserve">13. </w:t>
            </w:r>
            <w:proofErr w:type="spellStart"/>
            <w:r>
              <w:rPr>
                <w:i w:val="0"/>
                <w:color w:val="auto"/>
                <w:sz w:val="24"/>
              </w:rPr>
              <w:t>Metr</w:t>
            </w:r>
            <w:proofErr w:type="spellEnd"/>
          </w:p>
        </w:tc>
      </w:tr>
      <w:tr w:rsidR="00C65C22" w14:paraId="1AECE032" w14:textId="77777777" w:rsidTr="00E1432C">
        <w:tc>
          <w:tcPr>
            <w:tcW w:w="0" w:type="auto"/>
            <w:vAlign w:val="bottom"/>
          </w:tcPr>
          <w:p w14:paraId="45969435" w14:textId="25DCE00A" w:rsidR="00C65C22" w:rsidRPr="00C65C22" w:rsidRDefault="00C65C22" w:rsidP="00155C55">
            <w:pPr>
              <w:pStyle w:val="Caption"/>
              <w:widowControl w:val="0"/>
              <w:contextualSpacing/>
              <w:rPr>
                <w:i w:val="0"/>
                <w:color w:val="auto"/>
                <w:sz w:val="24"/>
              </w:rPr>
            </w:pPr>
            <w:r w:rsidRPr="00C65C22">
              <w:rPr>
                <w:i w:val="0"/>
                <w:color w:val="000000"/>
                <w:sz w:val="22"/>
              </w:rPr>
              <w:t>30</w:t>
            </w:r>
          </w:p>
        </w:tc>
        <w:tc>
          <w:tcPr>
            <w:tcW w:w="0" w:type="auto"/>
            <w:vAlign w:val="bottom"/>
          </w:tcPr>
          <w:p w14:paraId="3CC09277" w14:textId="258BB727"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Metronome_Right</w:t>
            </w:r>
            <w:proofErr w:type="spellEnd"/>
          </w:p>
        </w:tc>
        <w:tc>
          <w:tcPr>
            <w:tcW w:w="0" w:type="auto"/>
            <w:vAlign w:val="bottom"/>
          </w:tcPr>
          <w:p w14:paraId="42BFB792" w14:textId="7BFE0CA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3163" w:type="dxa"/>
          </w:tcPr>
          <w:p w14:paraId="4FF23BCC" w14:textId="68AEBC09"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Metr</w:t>
            </w:r>
            <w:proofErr w:type="spellEnd"/>
          </w:p>
        </w:tc>
      </w:tr>
      <w:tr w:rsidR="00C65C22" w14:paraId="0B8D676D" w14:textId="77777777" w:rsidTr="00E1432C">
        <w:tc>
          <w:tcPr>
            <w:tcW w:w="0" w:type="auto"/>
            <w:vAlign w:val="bottom"/>
          </w:tcPr>
          <w:p w14:paraId="0C61A4E6" w14:textId="5C37AF44" w:rsidR="00C65C22" w:rsidRPr="00C65C22" w:rsidRDefault="00C65C22" w:rsidP="00155C55">
            <w:pPr>
              <w:pStyle w:val="Caption"/>
              <w:widowControl w:val="0"/>
              <w:contextualSpacing/>
              <w:rPr>
                <w:i w:val="0"/>
                <w:color w:val="auto"/>
                <w:sz w:val="24"/>
              </w:rPr>
            </w:pPr>
            <w:r w:rsidRPr="00C65C22">
              <w:rPr>
                <w:i w:val="0"/>
                <w:color w:val="000000"/>
                <w:sz w:val="22"/>
              </w:rPr>
              <w:t>31</w:t>
            </w:r>
          </w:p>
        </w:tc>
        <w:tc>
          <w:tcPr>
            <w:tcW w:w="0" w:type="auto"/>
            <w:vAlign w:val="bottom"/>
          </w:tcPr>
          <w:p w14:paraId="18FFD104" w14:textId="5F4BACD3" w:rsidR="00C65C22" w:rsidRDefault="00C65C22" w:rsidP="00155C55">
            <w:pPr>
              <w:pStyle w:val="Caption"/>
              <w:widowControl w:val="0"/>
              <w:contextualSpacing/>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155C55">
            <w:pPr>
              <w:pStyle w:val="Caption"/>
              <w:widowControl w:val="0"/>
              <w:contextualSpacing/>
              <w:rPr>
                <w:i w:val="0"/>
                <w:color w:val="auto"/>
                <w:sz w:val="24"/>
              </w:rPr>
            </w:pPr>
            <w:r w:rsidRPr="00C65C22">
              <w:rPr>
                <w:i w:val="0"/>
                <w:color w:val="000000"/>
                <w:sz w:val="22"/>
              </w:rPr>
              <w:t>361</w:t>
            </w:r>
          </w:p>
        </w:tc>
        <w:tc>
          <w:tcPr>
            <w:tcW w:w="3163" w:type="dxa"/>
          </w:tcPr>
          <w:p w14:paraId="57A5B7EA" w14:textId="04A11DFD" w:rsidR="00C65C22" w:rsidRDefault="003E041F" w:rsidP="00155C55">
            <w:pPr>
              <w:pStyle w:val="Caption"/>
              <w:widowControl w:val="0"/>
              <w:contextualSpacing/>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155C55">
            <w:pPr>
              <w:pStyle w:val="Caption"/>
              <w:widowControl w:val="0"/>
              <w:contextualSpacing/>
              <w:rPr>
                <w:i w:val="0"/>
                <w:color w:val="auto"/>
                <w:sz w:val="24"/>
              </w:rPr>
            </w:pPr>
            <w:r w:rsidRPr="00C65C22">
              <w:rPr>
                <w:i w:val="0"/>
                <w:color w:val="000000"/>
                <w:sz w:val="22"/>
              </w:rPr>
              <w:t>32</w:t>
            </w:r>
          </w:p>
        </w:tc>
        <w:tc>
          <w:tcPr>
            <w:tcW w:w="0" w:type="auto"/>
            <w:vAlign w:val="bottom"/>
          </w:tcPr>
          <w:p w14:paraId="11B868F6" w14:textId="441CD0C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NeckTwist</w:t>
            </w:r>
            <w:proofErr w:type="spellEnd"/>
          </w:p>
        </w:tc>
        <w:tc>
          <w:tcPr>
            <w:tcW w:w="0" w:type="auto"/>
            <w:vAlign w:val="bottom"/>
          </w:tcPr>
          <w:p w14:paraId="6A9F5518" w14:textId="20815954" w:rsidR="00C65C22" w:rsidRPr="00C65C22" w:rsidRDefault="00C65C22" w:rsidP="00155C55">
            <w:pPr>
              <w:pStyle w:val="Caption"/>
              <w:widowControl w:val="0"/>
              <w:contextualSpacing/>
              <w:rPr>
                <w:i w:val="0"/>
                <w:color w:val="auto"/>
                <w:sz w:val="24"/>
              </w:rPr>
            </w:pPr>
            <w:r w:rsidRPr="00C65C22">
              <w:rPr>
                <w:i w:val="0"/>
                <w:color w:val="000000"/>
                <w:sz w:val="22"/>
              </w:rPr>
              <w:t>5618</w:t>
            </w:r>
          </w:p>
        </w:tc>
        <w:tc>
          <w:tcPr>
            <w:tcW w:w="3163" w:type="dxa"/>
          </w:tcPr>
          <w:p w14:paraId="7D906E9A" w14:textId="39BADE5C" w:rsidR="00C65C22" w:rsidRDefault="003E041F" w:rsidP="00155C55">
            <w:pPr>
              <w:pStyle w:val="Caption"/>
              <w:widowControl w:val="0"/>
              <w:contextualSpacing/>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155C55">
            <w:pPr>
              <w:pStyle w:val="Caption"/>
              <w:widowControl w:val="0"/>
              <w:contextualSpacing/>
              <w:rPr>
                <w:i w:val="0"/>
                <w:color w:val="auto"/>
                <w:sz w:val="24"/>
              </w:rPr>
            </w:pPr>
            <w:r w:rsidRPr="00C65C22">
              <w:rPr>
                <w:i w:val="0"/>
                <w:color w:val="000000"/>
                <w:sz w:val="22"/>
              </w:rPr>
              <w:t>33</w:t>
            </w:r>
          </w:p>
        </w:tc>
        <w:tc>
          <w:tcPr>
            <w:tcW w:w="0" w:type="auto"/>
            <w:vAlign w:val="bottom"/>
          </w:tcPr>
          <w:p w14:paraId="44C38E76" w14:textId="1F42CA89" w:rsidR="00C65C22" w:rsidRDefault="00C65C22" w:rsidP="00155C55">
            <w:pPr>
              <w:pStyle w:val="Caption"/>
              <w:widowControl w:val="0"/>
              <w:contextualSpacing/>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3163" w:type="dxa"/>
          </w:tcPr>
          <w:p w14:paraId="4F08FDD2" w14:textId="77777777" w:rsidR="00C65C22" w:rsidRDefault="00C65C22" w:rsidP="00155C55">
            <w:pPr>
              <w:pStyle w:val="Caption"/>
              <w:widowControl w:val="0"/>
              <w:contextualSpacing/>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155C55">
            <w:pPr>
              <w:pStyle w:val="Caption"/>
              <w:widowControl w:val="0"/>
              <w:contextualSpacing/>
              <w:rPr>
                <w:i w:val="0"/>
                <w:color w:val="auto"/>
                <w:sz w:val="24"/>
              </w:rPr>
            </w:pPr>
            <w:r w:rsidRPr="00C65C22">
              <w:rPr>
                <w:i w:val="0"/>
                <w:color w:val="000000"/>
                <w:sz w:val="22"/>
              </w:rPr>
              <w:t>34</w:t>
            </w:r>
          </w:p>
        </w:tc>
        <w:tc>
          <w:tcPr>
            <w:tcW w:w="0" w:type="auto"/>
            <w:vAlign w:val="bottom"/>
          </w:tcPr>
          <w:p w14:paraId="601BC687" w14:textId="0A097AB0" w:rsidR="00C65C22" w:rsidRDefault="00C65C22" w:rsidP="00155C55">
            <w:pPr>
              <w:pStyle w:val="Caption"/>
              <w:widowControl w:val="0"/>
              <w:contextualSpacing/>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3163" w:type="dxa"/>
          </w:tcPr>
          <w:p w14:paraId="11D3C1F9" w14:textId="77777777" w:rsidR="00C65C22" w:rsidRDefault="00C65C22" w:rsidP="00155C55">
            <w:pPr>
              <w:pStyle w:val="Caption"/>
              <w:widowControl w:val="0"/>
              <w:contextualSpacing/>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155C55">
            <w:pPr>
              <w:pStyle w:val="Caption"/>
              <w:widowControl w:val="0"/>
              <w:contextualSpacing/>
              <w:rPr>
                <w:i w:val="0"/>
                <w:color w:val="auto"/>
                <w:sz w:val="24"/>
              </w:rPr>
            </w:pPr>
            <w:r w:rsidRPr="00C65C22">
              <w:rPr>
                <w:i w:val="0"/>
                <w:color w:val="000000"/>
                <w:sz w:val="22"/>
              </w:rPr>
              <w:t>35</w:t>
            </w:r>
          </w:p>
        </w:tc>
        <w:tc>
          <w:tcPr>
            <w:tcW w:w="0" w:type="auto"/>
            <w:vAlign w:val="bottom"/>
          </w:tcPr>
          <w:p w14:paraId="1A54E036" w14:textId="245681AC" w:rsidR="00C65C22" w:rsidRDefault="00C65C22" w:rsidP="00155C55">
            <w:pPr>
              <w:pStyle w:val="Caption"/>
              <w:widowControl w:val="0"/>
              <w:contextualSpacing/>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155C55">
            <w:pPr>
              <w:pStyle w:val="Caption"/>
              <w:widowControl w:val="0"/>
              <w:contextualSpacing/>
              <w:rPr>
                <w:i w:val="0"/>
                <w:color w:val="auto"/>
                <w:sz w:val="24"/>
              </w:rPr>
            </w:pPr>
            <w:r w:rsidRPr="00C65C22">
              <w:rPr>
                <w:i w:val="0"/>
                <w:color w:val="000000"/>
                <w:sz w:val="22"/>
              </w:rPr>
              <w:t>2225</w:t>
            </w:r>
          </w:p>
        </w:tc>
        <w:tc>
          <w:tcPr>
            <w:tcW w:w="3163" w:type="dxa"/>
          </w:tcPr>
          <w:p w14:paraId="0102C405" w14:textId="5194B808" w:rsidR="00C65C22" w:rsidRDefault="003E041F" w:rsidP="00155C55">
            <w:pPr>
              <w:pStyle w:val="Caption"/>
              <w:widowControl w:val="0"/>
              <w:contextualSpacing/>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155C55">
            <w:pPr>
              <w:pStyle w:val="Caption"/>
              <w:widowControl w:val="0"/>
              <w:contextualSpacing/>
              <w:rPr>
                <w:i w:val="0"/>
                <w:color w:val="auto"/>
                <w:sz w:val="24"/>
              </w:rPr>
            </w:pPr>
            <w:r w:rsidRPr="00C65C22">
              <w:rPr>
                <w:i w:val="0"/>
                <w:color w:val="000000"/>
                <w:sz w:val="22"/>
              </w:rPr>
              <w:t>36</w:t>
            </w:r>
          </w:p>
        </w:tc>
        <w:tc>
          <w:tcPr>
            <w:tcW w:w="0" w:type="auto"/>
            <w:vAlign w:val="bottom"/>
          </w:tcPr>
          <w:p w14:paraId="39AB5265" w14:textId="3E54AA81" w:rsidR="00C65C22" w:rsidRDefault="00C65C22" w:rsidP="00155C55">
            <w:pPr>
              <w:pStyle w:val="Caption"/>
              <w:widowControl w:val="0"/>
              <w:contextualSpacing/>
              <w:rPr>
                <w:i w:val="0"/>
                <w:color w:val="auto"/>
                <w:sz w:val="24"/>
              </w:rPr>
            </w:pPr>
            <w:r w:rsidRPr="007D74CC">
              <w:rPr>
                <w:color w:val="000000"/>
                <w:sz w:val="22"/>
              </w:rPr>
              <w:t xml:space="preserve">Male1 Other </w:t>
            </w:r>
            <w:proofErr w:type="spellStart"/>
            <w:r w:rsidR="004E5018">
              <w:rPr>
                <w:color w:val="000000"/>
                <w:sz w:val="22"/>
              </w:rPr>
              <w:t>Behaviour</w:t>
            </w:r>
            <w:proofErr w:type="spellEnd"/>
          </w:p>
        </w:tc>
        <w:tc>
          <w:tcPr>
            <w:tcW w:w="0" w:type="auto"/>
            <w:vAlign w:val="bottom"/>
          </w:tcPr>
          <w:p w14:paraId="7C84CE78" w14:textId="1BCC2DE0" w:rsidR="00C65C22" w:rsidRPr="00C65C22" w:rsidRDefault="00C65C22" w:rsidP="00155C55">
            <w:pPr>
              <w:pStyle w:val="Caption"/>
              <w:widowControl w:val="0"/>
              <w:contextualSpacing/>
              <w:rPr>
                <w:i w:val="0"/>
                <w:color w:val="auto"/>
                <w:sz w:val="24"/>
              </w:rPr>
            </w:pPr>
            <w:r w:rsidRPr="00C65C22">
              <w:rPr>
                <w:i w:val="0"/>
                <w:color w:val="000000"/>
                <w:sz w:val="22"/>
              </w:rPr>
              <w:t>2142</w:t>
            </w:r>
          </w:p>
        </w:tc>
        <w:tc>
          <w:tcPr>
            <w:tcW w:w="3163" w:type="dxa"/>
          </w:tcPr>
          <w:p w14:paraId="0DF1D35F" w14:textId="27493DD1" w:rsidR="00C65C22" w:rsidRDefault="003E041F" w:rsidP="00155C55">
            <w:pPr>
              <w:pStyle w:val="Caption"/>
              <w:widowControl w:val="0"/>
              <w:contextualSpacing/>
              <w:rPr>
                <w:i w:val="0"/>
                <w:color w:val="auto"/>
                <w:sz w:val="24"/>
              </w:rPr>
            </w:pPr>
            <w:r>
              <w:rPr>
                <w:i w:val="0"/>
                <w:color w:val="auto"/>
                <w:sz w:val="24"/>
              </w:rPr>
              <w:t xml:space="preserve">17. </w:t>
            </w:r>
            <w:proofErr w:type="spellStart"/>
            <w:r>
              <w:rPr>
                <w:i w:val="0"/>
                <w:color w:val="auto"/>
                <w:sz w:val="24"/>
              </w:rPr>
              <w:t>OthX</w:t>
            </w:r>
            <w:proofErr w:type="spellEnd"/>
          </w:p>
        </w:tc>
      </w:tr>
      <w:tr w:rsidR="00C65C22" w14:paraId="2A96086A" w14:textId="77777777" w:rsidTr="00E1432C">
        <w:tc>
          <w:tcPr>
            <w:tcW w:w="0" w:type="auto"/>
            <w:vAlign w:val="bottom"/>
          </w:tcPr>
          <w:p w14:paraId="5F9091BF" w14:textId="03089A09" w:rsidR="00C65C22" w:rsidRPr="00C65C22" w:rsidRDefault="00C65C22" w:rsidP="00155C55">
            <w:pPr>
              <w:pStyle w:val="Caption"/>
              <w:widowControl w:val="0"/>
              <w:contextualSpacing/>
              <w:rPr>
                <w:i w:val="0"/>
                <w:color w:val="auto"/>
                <w:sz w:val="24"/>
              </w:rPr>
            </w:pPr>
            <w:r w:rsidRPr="00C65C22">
              <w:rPr>
                <w:i w:val="0"/>
                <w:color w:val="000000"/>
                <w:sz w:val="22"/>
              </w:rPr>
              <w:t>37</w:t>
            </w:r>
          </w:p>
        </w:tc>
        <w:tc>
          <w:tcPr>
            <w:tcW w:w="0" w:type="auto"/>
            <w:vAlign w:val="bottom"/>
          </w:tcPr>
          <w:p w14:paraId="483448D8" w14:textId="7C09EC76" w:rsidR="00C65C22" w:rsidRDefault="00C65C22" w:rsidP="00155C55">
            <w:pPr>
              <w:pStyle w:val="Caption"/>
              <w:widowControl w:val="0"/>
              <w:contextualSpacing/>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155C55">
            <w:pPr>
              <w:pStyle w:val="Caption"/>
              <w:widowControl w:val="0"/>
              <w:contextualSpacing/>
              <w:rPr>
                <w:i w:val="0"/>
                <w:color w:val="auto"/>
                <w:sz w:val="24"/>
              </w:rPr>
            </w:pPr>
            <w:r w:rsidRPr="00C65C22">
              <w:rPr>
                <w:i w:val="0"/>
                <w:color w:val="000000"/>
                <w:sz w:val="22"/>
              </w:rPr>
              <w:t>655</w:t>
            </w:r>
          </w:p>
        </w:tc>
        <w:tc>
          <w:tcPr>
            <w:tcW w:w="3163" w:type="dxa"/>
          </w:tcPr>
          <w:p w14:paraId="31587BE7" w14:textId="75F976AF" w:rsidR="00C65C22" w:rsidRDefault="003E041F" w:rsidP="00155C55">
            <w:pPr>
              <w:pStyle w:val="Caption"/>
              <w:widowControl w:val="0"/>
              <w:contextualSpacing/>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155C55">
            <w:pPr>
              <w:pStyle w:val="Caption"/>
              <w:widowControl w:val="0"/>
              <w:contextualSpacing/>
              <w:rPr>
                <w:i w:val="0"/>
                <w:color w:val="auto"/>
                <w:sz w:val="24"/>
              </w:rPr>
            </w:pPr>
            <w:r w:rsidRPr="00C65C22">
              <w:rPr>
                <w:i w:val="0"/>
                <w:color w:val="000000"/>
                <w:sz w:val="22"/>
              </w:rPr>
              <w:t>38</w:t>
            </w:r>
          </w:p>
        </w:tc>
        <w:tc>
          <w:tcPr>
            <w:tcW w:w="0" w:type="auto"/>
            <w:vAlign w:val="bottom"/>
          </w:tcPr>
          <w:p w14:paraId="5FAEAF79" w14:textId="5B8A5406" w:rsidR="00C65C22" w:rsidRDefault="00C65C22" w:rsidP="00155C55">
            <w:pPr>
              <w:pStyle w:val="Caption"/>
              <w:widowControl w:val="0"/>
              <w:contextualSpacing/>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155C55">
            <w:pPr>
              <w:pStyle w:val="Caption"/>
              <w:widowControl w:val="0"/>
              <w:contextualSpacing/>
              <w:rPr>
                <w:i w:val="0"/>
                <w:color w:val="auto"/>
                <w:sz w:val="24"/>
              </w:rPr>
            </w:pPr>
            <w:r w:rsidRPr="00C65C22">
              <w:rPr>
                <w:i w:val="0"/>
                <w:color w:val="000000"/>
                <w:sz w:val="22"/>
              </w:rPr>
              <w:t>1145</w:t>
            </w:r>
          </w:p>
        </w:tc>
        <w:tc>
          <w:tcPr>
            <w:tcW w:w="3163" w:type="dxa"/>
          </w:tcPr>
          <w:p w14:paraId="3B4D48A3" w14:textId="1EF0A0AB" w:rsidR="00C65C22" w:rsidRDefault="003E041F" w:rsidP="00155C55">
            <w:pPr>
              <w:pStyle w:val="Caption"/>
              <w:widowControl w:val="0"/>
              <w:contextualSpacing/>
              <w:rPr>
                <w:i w:val="0"/>
                <w:color w:val="auto"/>
                <w:sz w:val="24"/>
              </w:rPr>
            </w:pPr>
            <w:r>
              <w:rPr>
                <w:i w:val="0"/>
                <w:color w:val="auto"/>
                <w:sz w:val="24"/>
              </w:rPr>
              <w:t xml:space="preserve">19. </w:t>
            </w:r>
            <w:proofErr w:type="spellStart"/>
            <w:r>
              <w:rPr>
                <w:i w:val="0"/>
                <w:color w:val="auto"/>
                <w:sz w:val="24"/>
              </w:rPr>
              <w:t>Swtc</w:t>
            </w:r>
            <w:proofErr w:type="spellEnd"/>
          </w:p>
        </w:tc>
      </w:tr>
      <w:tr w:rsidR="00C65C22" w14:paraId="07F786EC" w14:textId="77777777" w:rsidTr="00E1432C">
        <w:tc>
          <w:tcPr>
            <w:tcW w:w="0" w:type="auto"/>
            <w:vAlign w:val="bottom"/>
          </w:tcPr>
          <w:p w14:paraId="56F072A2" w14:textId="24DBC91D"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0" w:type="auto"/>
            <w:vAlign w:val="bottom"/>
          </w:tcPr>
          <w:p w14:paraId="616AA776" w14:textId="1EBF10DD"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TafLF_Off</w:t>
            </w:r>
            <w:proofErr w:type="spellEnd"/>
          </w:p>
        </w:tc>
        <w:tc>
          <w:tcPr>
            <w:tcW w:w="0" w:type="auto"/>
            <w:vAlign w:val="bottom"/>
          </w:tcPr>
          <w:p w14:paraId="53A74850" w14:textId="22F6B206" w:rsidR="00C65C22" w:rsidRPr="00C65C22" w:rsidRDefault="00C65C22" w:rsidP="00155C55">
            <w:pPr>
              <w:pStyle w:val="Caption"/>
              <w:widowControl w:val="0"/>
              <w:contextualSpacing/>
              <w:rPr>
                <w:i w:val="0"/>
                <w:color w:val="auto"/>
                <w:sz w:val="24"/>
              </w:rPr>
            </w:pPr>
            <w:r w:rsidRPr="00C65C22">
              <w:rPr>
                <w:i w:val="0"/>
                <w:color w:val="000000"/>
                <w:sz w:val="22"/>
              </w:rPr>
              <w:t>1193</w:t>
            </w:r>
          </w:p>
        </w:tc>
        <w:tc>
          <w:tcPr>
            <w:tcW w:w="3163" w:type="dxa"/>
          </w:tcPr>
          <w:p w14:paraId="538DF4DC" w14:textId="071AA847" w:rsidR="00C65C22" w:rsidRDefault="003E041F" w:rsidP="00155C55">
            <w:pPr>
              <w:pStyle w:val="Caption"/>
              <w:widowControl w:val="0"/>
              <w:contextualSpacing/>
              <w:rPr>
                <w:i w:val="0"/>
                <w:color w:val="auto"/>
                <w:sz w:val="24"/>
              </w:rPr>
            </w:pPr>
            <w:r>
              <w:rPr>
                <w:i w:val="0"/>
                <w:color w:val="auto"/>
                <w:sz w:val="24"/>
              </w:rPr>
              <w:t xml:space="preserve">20. </w:t>
            </w:r>
            <w:proofErr w:type="spellStart"/>
            <w:r>
              <w:rPr>
                <w:i w:val="0"/>
                <w:color w:val="auto"/>
                <w:sz w:val="24"/>
              </w:rPr>
              <w:t>Taf</w:t>
            </w:r>
            <w:proofErr w:type="spellEnd"/>
          </w:p>
        </w:tc>
      </w:tr>
      <w:tr w:rsidR="00C65C22" w14:paraId="48F3081B" w14:textId="77777777" w:rsidTr="00E1432C">
        <w:tc>
          <w:tcPr>
            <w:tcW w:w="0" w:type="auto"/>
            <w:vAlign w:val="bottom"/>
          </w:tcPr>
          <w:p w14:paraId="3DFFCDE6" w14:textId="6D184B72" w:rsidR="00C65C22" w:rsidRPr="00C65C22" w:rsidRDefault="00C65C22" w:rsidP="00155C55">
            <w:pPr>
              <w:pStyle w:val="Caption"/>
              <w:widowControl w:val="0"/>
              <w:contextualSpacing/>
              <w:rPr>
                <w:i w:val="0"/>
                <w:color w:val="auto"/>
                <w:sz w:val="24"/>
              </w:rPr>
            </w:pPr>
            <w:r w:rsidRPr="00C65C22">
              <w:rPr>
                <w:i w:val="0"/>
                <w:color w:val="000000"/>
                <w:sz w:val="22"/>
              </w:rPr>
              <w:t>40</w:t>
            </w:r>
          </w:p>
        </w:tc>
        <w:tc>
          <w:tcPr>
            <w:tcW w:w="0" w:type="auto"/>
            <w:vAlign w:val="bottom"/>
          </w:tcPr>
          <w:p w14:paraId="198AB2F2" w14:textId="5813484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TafLF_On</w:t>
            </w:r>
            <w:proofErr w:type="spellEnd"/>
          </w:p>
        </w:tc>
        <w:tc>
          <w:tcPr>
            <w:tcW w:w="0" w:type="auto"/>
            <w:vAlign w:val="bottom"/>
          </w:tcPr>
          <w:p w14:paraId="78FF9ED7" w14:textId="76C7B88E" w:rsidR="00C65C22" w:rsidRPr="00C65C22" w:rsidRDefault="00C65C22" w:rsidP="00155C55">
            <w:pPr>
              <w:pStyle w:val="Caption"/>
              <w:widowControl w:val="0"/>
              <w:contextualSpacing/>
              <w:rPr>
                <w:i w:val="0"/>
                <w:color w:val="auto"/>
                <w:sz w:val="24"/>
              </w:rPr>
            </w:pPr>
            <w:r w:rsidRPr="00C65C22">
              <w:rPr>
                <w:i w:val="0"/>
                <w:color w:val="000000"/>
                <w:sz w:val="22"/>
              </w:rPr>
              <w:t>1223</w:t>
            </w:r>
          </w:p>
        </w:tc>
        <w:tc>
          <w:tcPr>
            <w:tcW w:w="3163" w:type="dxa"/>
          </w:tcPr>
          <w:p w14:paraId="017D8F67" w14:textId="5E103077"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Taf</w:t>
            </w:r>
            <w:proofErr w:type="spellEnd"/>
          </w:p>
        </w:tc>
      </w:tr>
      <w:tr w:rsidR="00C65C22" w14:paraId="603D3E3F" w14:textId="77777777" w:rsidTr="00E1432C">
        <w:tc>
          <w:tcPr>
            <w:tcW w:w="0" w:type="auto"/>
            <w:vAlign w:val="bottom"/>
          </w:tcPr>
          <w:p w14:paraId="2E8ADBA9" w14:textId="670022B5"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0" w:type="auto"/>
            <w:vAlign w:val="bottom"/>
          </w:tcPr>
          <w:p w14:paraId="2019BE42" w14:textId="0B40752A" w:rsidR="00C65C22" w:rsidRDefault="00C65C22" w:rsidP="00155C55">
            <w:pPr>
              <w:pStyle w:val="Caption"/>
              <w:widowControl w:val="0"/>
              <w:contextualSpacing/>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4832CF08" w14:textId="16B0A530" w:rsidR="00C65C22" w:rsidRDefault="003E041F" w:rsidP="00155C55">
            <w:pPr>
              <w:pStyle w:val="Caption"/>
              <w:widowControl w:val="0"/>
              <w:contextualSpacing/>
              <w:rPr>
                <w:i w:val="0"/>
                <w:color w:val="auto"/>
                <w:sz w:val="24"/>
              </w:rPr>
            </w:pPr>
            <w:r>
              <w:rPr>
                <w:i w:val="0"/>
                <w:color w:val="auto"/>
                <w:sz w:val="24"/>
              </w:rPr>
              <w:t>21. Start</w:t>
            </w:r>
          </w:p>
        </w:tc>
      </w:tr>
    </w:tbl>
    <w:p w14:paraId="43D2D790" w14:textId="3917A51B" w:rsidR="00EE1817" w:rsidRDefault="00EE1817" w:rsidP="00155C55">
      <w:pPr>
        <w:pStyle w:val="Caption"/>
        <w:keepNext/>
        <w:ind w:left="900" w:hanging="353"/>
        <w:contextualSpacing/>
      </w:pPr>
    </w:p>
    <w:p w14:paraId="5B25CF74" w14:textId="7954D3BF" w:rsidR="004A009D" w:rsidRDefault="004A009D" w:rsidP="00155C55">
      <w:pPr>
        <w:contextualSpacing/>
      </w:pPr>
      <w:r w:rsidRPr="0042672D">
        <w:rPr>
          <w:sz w:val="28"/>
          <w:szCs w:val="28"/>
        </w:rPr>
        <w:t>Notes for 2022-2023 revision</w:t>
      </w:r>
      <w:r>
        <w:t xml:space="preserve">. </w:t>
      </w:r>
    </w:p>
    <w:p w14:paraId="464C301C" w14:textId="3A365E39" w:rsidR="004A009D" w:rsidRDefault="004A009D" w:rsidP="00155C55">
      <w:pPr>
        <w:contextualSpacing/>
      </w:pPr>
    </w:p>
    <w:p w14:paraId="4CC55CA9" w14:textId="4C714768" w:rsidR="00C3465D" w:rsidRDefault="004A009D" w:rsidP="00155C55">
      <w:pPr>
        <w:ind w:left="720" w:hanging="360"/>
        <w:contextualSpacing/>
      </w:pPr>
      <w:r>
        <w:lastRenderedPageBreak/>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w:t>
      </w:r>
      <w:proofErr w:type="spellStart"/>
      <w:r>
        <w:t>BoutLength</w:t>
      </w:r>
      <w:proofErr w:type="spellEnd"/>
      <w:r>
        <w:t xml:space="preserve"> ratio (output of 10-Oct-22)</w:t>
      </w:r>
      <w:r w:rsidR="0047797A">
        <w:t>. Ratio of (distinct element count)</w:t>
      </w:r>
      <w:proofErr w:type="gramStart"/>
      <w:r w:rsidR="0047797A">
        <w:t>/(</w:t>
      </w:r>
      <w:proofErr w:type="gramEnd"/>
      <w:r w:rsidR="0047797A">
        <w:t xml:space="preserve">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4"/>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155C55">
      <w:pPr>
        <w:ind w:left="720" w:hanging="360"/>
        <w:contextualSpacing/>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2221631" cy="2235178"/>
                    </a:xfrm>
                    <a:prstGeom prst="rect">
                      <a:avLst/>
                    </a:prstGeom>
                  </pic:spPr>
                </pic:pic>
              </a:graphicData>
            </a:graphic>
          </wp:inline>
        </w:drawing>
      </w:r>
    </w:p>
    <w:p w14:paraId="70D9013A" w14:textId="72833800" w:rsidR="0054468A" w:rsidRDefault="004A009D" w:rsidP="00155C55">
      <w:pPr>
        <w:keepLines/>
        <w:contextualSpacing/>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6"/>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w:t>
      </w:r>
      <w:proofErr w:type="gramStart"/>
      <w:r w:rsidR="0054468A">
        <w:t xml:space="preserve">   (</w:t>
      </w:r>
      <w:proofErr w:type="gramEnd"/>
      <w:r w:rsidR="0054468A">
        <w:t xml:space="preserve">Cop), to high complexity in display bouts involving only males (Mal). </w:t>
      </w:r>
    </w:p>
    <w:p w14:paraId="1CB2802D" w14:textId="3CC87262" w:rsidR="004A009D" w:rsidRDefault="0047797A" w:rsidP="00155C55">
      <w:pPr>
        <w:keepLines/>
        <w:contextualSpacing/>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155C55">
      <w:pPr>
        <w:contextualSpacing/>
      </w:pPr>
      <w:r>
        <w:t>From Liam's email of 6-Oct-22</w:t>
      </w:r>
    </w:p>
    <w:p w14:paraId="664B949B" w14:textId="5091A693" w:rsidR="003244BB" w:rsidRDefault="00E86FA7" w:rsidP="00155C55">
      <w:pPr>
        <w:ind w:left="360"/>
        <w:contextualSpacing/>
      </w:pPr>
      <w:r>
        <w:t>"</w:t>
      </w:r>
      <w:r w:rsidR="003244BB">
        <w:t xml:space="preserve">Focusing on the compressibility score as the central value and explicitly comparing it to simple measures like "repertoire size" might make for a very </w:t>
      </w:r>
      <w:proofErr w:type="spellStart"/>
      <w:r w:rsidR="003244BB">
        <w:t>simple+impactful</w:t>
      </w:r>
      <w:proofErr w:type="spellEnd"/>
      <w:r w:rsidR="003244BB">
        <w:t xml:space="preserve"> presentation of the data. </w:t>
      </w:r>
    </w:p>
    <w:p w14:paraId="7C90F2D2" w14:textId="77777777" w:rsidR="003244BB" w:rsidRDefault="003244BB" w:rsidP="00155C55">
      <w:pPr>
        <w:ind w:left="360"/>
        <w:contextualSpacing/>
      </w:pPr>
    </w:p>
    <w:p w14:paraId="5FC04D6F" w14:textId="77777777" w:rsidR="003244BB" w:rsidRDefault="003244BB" w:rsidP="00155C55">
      <w:pPr>
        <w:ind w:left="360"/>
        <w:contextualSpacing/>
      </w:pPr>
      <w:r>
        <w:t xml:space="preserve">A central figure might be as simple as a </w:t>
      </w:r>
      <w:proofErr w:type="gramStart"/>
      <w:r>
        <w:t>four subplot</w:t>
      </w:r>
      <w:proofErr w:type="gramEnd"/>
      <w:r>
        <w:t xml:space="preserve"> bar plot:</w:t>
      </w:r>
    </w:p>
    <w:p w14:paraId="73566C44" w14:textId="6C410310" w:rsidR="003244BB" w:rsidRDefault="003244BB" w:rsidP="00155C55">
      <w:pPr>
        <w:ind w:left="360"/>
        <w:contextualSpacing/>
      </w:pPr>
      <w:r>
        <w:tab/>
        <w:t xml:space="preserve">(A) Repertoire sizes. Mal vs. Fem (exclude cop) vs. Cop. </w:t>
      </w:r>
    </w:p>
    <w:p w14:paraId="55846304" w14:textId="627FC91B" w:rsidR="003244BB" w:rsidRDefault="003244BB" w:rsidP="00155C55">
      <w:pPr>
        <w:ind w:left="360"/>
        <w:contextualSpacing/>
      </w:pPr>
      <w:r>
        <w:tab/>
        <w:t>(B) Entropy. Mal vs. Fem (exclude cop) vs. Cop</w:t>
      </w:r>
    </w:p>
    <w:p w14:paraId="52D76319" w14:textId="4EF51564" w:rsidR="003244BB" w:rsidRDefault="003244BB" w:rsidP="00155C55">
      <w:pPr>
        <w:ind w:left="360"/>
        <w:contextualSpacing/>
      </w:pPr>
      <w:r>
        <w:tab/>
        <w:t>(C) Length of compression string. Mal vs. Fem (exclude cop) vs. Cop</w:t>
      </w:r>
    </w:p>
    <w:p w14:paraId="2C019D56" w14:textId="255A61BF" w:rsidR="003244BB" w:rsidRDefault="003244BB" w:rsidP="00155C55">
      <w:pPr>
        <w:ind w:left="360"/>
        <w:contextualSpacing/>
      </w:pPr>
      <w:r>
        <w:tab/>
        <w:t xml:space="preserve">(D) If any different than (C), Algorithmic complexity from </w:t>
      </w:r>
      <w:proofErr w:type="spellStart"/>
      <w:r>
        <w:t>acss</w:t>
      </w:r>
      <w:proofErr w:type="spellEnd"/>
      <w:r>
        <w:t>. M vs. F vs. C</w:t>
      </w:r>
    </w:p>
    <w:p w14:paraId="54FDAB42" w14:textId="77777777" w:rsidR="003244BB" w:rsidRDefault="003244BB" w:rsidP="00155C55">
      <w:pPr>
        <w:ind w:left="360"/>
        <w:contextualSpacing/>
      </w:pPr>
    </w:p>
    <w:p w14:paraId="229FD39A" w14:textId="77777777" w:rsidR="003244BB" w:rsidRDefault="003244BB" w:rsidP="00155C55">
      <w:pPr>
        <w:ind w:left="360"/>
        <w:contextualSpacing/>
      </w:pPr>
      <w:r w:rsidRPr="003244BB">
        <w:rPr>
          <w:highlight w:val="yellow"/>
        </w:rPr>
        <w:t>Then another figure (or worked into the above) parsing within vs. between individuals.</w:t>
      </w:r>
      <w:r>
        <w:t xml:space="preserve"> </w:t>
      </w:r>
    </w:p>
    <w:p w14:paraId="68857F81" w14:textId="77777777" w:rsidR="003244BB" w:rsidRDefault="003244BB" w:rsidP="00155C55">
      <w:pPr>
        <w:ind w:left="360"/>
        <w:contextualSpacing/>
      </w:pPr>
    </w:p>
    <w:p w14:paraId="6479596B" w14:textId="77777777" w:rsidR="003244BB" w:rsidRDefault="003244BB" w:rsidP="00155C55">
      <w:pPr>
        <w:ind w:left="720" w:hanging="360"/>
        <w:contextualSpacing/>
      </w:pPr>
      <w:r>
        <w:t>Plot (A) gives us the background value that most investigators might have looked for.</w:t>
      </w:r>
    </w:p>
    <w:p w14:paraId="1E684ABF" w14:textId="77777777" w:rsidR="003244BB" w:rsidRDefault="003244BB" w:rsidP="00155C55">
      <w:pPr>
        <w:ind w:left="720" w:hanging="360"/>
        <w:contextualSpacing/>
      </w:pPr>
      <w:r>
        <w:t>Plot (B) tells us something about predictability -- from the view of the female, how "surprised" she might possibly be, given the available male display elements.</w:t>
      </w:r>
    </w:p>
    <w:p w14:paraId="220831F1" w14:textId="77777777" w:rsidR="003244BB" w:rsidRDefault="003244BB" w:rsidP="00155C55">
      <w:pPr>
        <w:ind w:left="720" w:hanging="360"/>
        <w:contextualSpacing/>
      </w:pPr>
      <w:r>
        <w:t>Plot (C) tells us something about an approximation of complexity -- from the view of the male, how simple is the display to produce (aesthetic structure, repetition, etc.).</w:t>
      </w:r>
    </w:p>
    <w:p w14:paraId="7F9B5C95" w14:textId="278F474C" w:rsidR="003244BB" w:rsidRDefault="003244BB" w:rsidP="00155C55">
      <w:pPr>
        <w:ind w:left="720" w:hanging="360"/>
        <w:contextualSpacing/>
      </w:pPr>
      <w:r>
        <w:t>Plot (D) bolsters plot (C) with a slightly different estimator of complexity.</w:t>
      </w:r>
      <w:r w:rsidR="00E86FA7">
        <w:t>"</w:t>
      </w:r>
    </w:p>
    <w:p w14:paraId="3EAEFCC3" w14:textId="3F7D3C06" w:rsidR="00E36758" w:rsidRDefault="00E36758" w:rsidP="00155C55">
      <w:pPr>
        <w:ind w:left="720" w:hanging="360"/>
        <w:contextualSpacing/>
      </w:pPr>
    </w:p>
    <w:p w14:paraId="42747611" w14:textId="08745A04" w:rsidR="00E36758" w:rsidRPr="00A55D43" w:rsidRDefault="0042672D" w:rsidP="00155C55">
      <w:pPr>
        <w:ind w:left="720" w:hanging="360"/>
        <w:contextualSpacing/>
        <w:rPr>
          <w:sz w:val="32"/>
          <w:szCs w:val="32"/>
        </w:rPr>
      </w:pPr>
      <w:r w:rsidRPr="0015596B">
        <w:rPr>
          <w:sz w:val="32"/>
          <w:szCs w:val="32"/>
          <w:highlight w:val="green"/>
        </w:rPr>
        <w:t>Questions/comments for Liam (22-Oct-22)</w:t>
      </w:r>
    </w:p>
    <w:p w14:paraId="19A4666E" w14:textId="051BD03F" w:rsidR="0042672D" w:rsidRDefault="0042672D" w:rsidP="00155C55">
      <w:pPr>
        <w:ind w:left="720" w:hanging="360"/>
        <w:contextualSpacing/>
      </w:pPr>
    </w:p>
    <w:p w14:paraId="60FA971B" w14:textId="0431567C" w:rsidR="002E2074" w:rsidRDefault="002E2074" w:rsidP="00155C55">
      <w:pPr>
        <w:ind w:left="720" w:hanging="360"/>
        <w:contextualSpacing/>
      </w:pPr>
      <w:r>
        <w:t xml:space="preserve">Should we call the 11 </w:t>
      </w:r>
      <w:r w:rsidR="0015596B">
        <w:t xml:space="preserve">elements "events" rather than "elements"? Some (Cop, </w:t>
      </w:r>
      <w:proofErr w:type="spellStart"/>
      <w:r w:rsidR="0015596B">
        <w:t>AttC</w:t>
      </w:r>
      <w:proofErr w:type="spellEnd"/>
      <w:r w:rsidR="0015596B">
        <w:t xml:space="preserve">, </w:t>
      </w:r>
      <w:proofErr w:type="spellStart"/>
      <w:r w:rsidR="0015596B">
        <w:t>FOn</w:t>
      </w:r>
      <w:proofErr w:type="spellEnd"/>
      <w:r w:rsidR="0015596B">
        <w:t xml:space="preserve">, </w:t>
      </w:r>
      <w:proofErr w:type="spellStart"/>
      <w:r w:rsidR="0015596B">
        <w:t>Fff</w:t>
      </w:r>
      <w:proofErr w:type="spellEnd"/>
      <w:r w:rsidR="0015596B">
        <w:t xml:space="preserve">, Mix, </w:t>
      </w:r>
      <w:proofErr w:type="spellStart"/>
      <w:r w:rsidR="0015596B">
        <w:t>Othr</w:t>
      </w:r>
      <w:proofErr w:type="spellEnd"/>
      <w:r w:rsidR="0015596B">
        <w:t xml:space="preserve">, </w:t>
      </w:r>
      <w:proofErr w:type="spellStart"/>
      <w:r w:rsidR="0015596B">
        <w:t>Zro</w:t>
      </w:r>
      <w:proofErr w:type="spellEnd"/>
      <w:r w:rsidR="0015596B">
        <w:t xml:space="preserve">) are not display elements per se (especially in the </w:t>
      </w:r>
      <w:proofErr w:type="spellStart"/>
      <w:r w:rsidR="0015596B">
        <w:t>Schaedler</w:t>
      </w:r>
      <w:proofErr w:type="spellEnd"/>
      <w:r w:rsidR="0015596B">
        <w:t xml:space="preserve"> comparative scheme). </w:t>
      </w:r>
    </w:p>
    <w:p w14:paraId="1710B32B" w14:textId="3EC32F4E" w:rsidR="0042672D" w:rsidRDefault="0042672D" w:rsidP="00155C55">
      <w:pPr>
        <w:ind w:left="720" w:hanging="360"/>
        <w:contextualSpacing/>
      </w:pPr>
      <w:r>
        <w:t xml:space="preserve">Are the (almost </w:t>
      </w:r>
      <w:proofErr w:type="spellStart"/>
      <w:r>
        <w:t>impercepible</w:t>
      </w:r>
      <w:proofErr w:type="spellEnd"/>
      <w:r>
        <w:t xml:space="preserve">, except in slomo) neck bobs and tail wags after an ALAD worth </w:t>
      </w:r>
      <w:proofErr w:type="spellStart"/>
      <w:r>
        <w:t>attomizing</w:t>
      </w:r>
      <w:proofErr w:type="spellEnd"/>
      <w:r>
        <w:t>?</w:t>
      </w:r>
    </w:p>
    <w:p w14:paraId="4E76B4BC" w14:textId="11EB1EFC" w:rsidR="0042672D" w:rsidRDefault="0042672D" w:rsidP="00155C55">
      <w:pPr>
        <w:ind w:left="720" w:hanging="360"/>
        <w:contextualSpacing/>
      </w:pPr>
      <w:r>
        <w:t>Vault (male vaults over female when both are on the log): does it occur in context other than ALAD?</w:t>
      </w:r>
    </w:p>
    <w:p w14:paraId="51406DD4" w14:textId="49FFCD28" w:rsidR="0042672D" w:rsidRDefault="0042672D" w:rsidP="00155C55">
      <w:pPr>
        <w:ind w:left="720" w:hanging="360"/>
        <w:contextualSpacing/>
      </w:pPr>
      <w:r>
        <w:t>Gradient from Neck twist (</w:t>
      </w:r>
      <w:r w:rsidRPr="0042672D">
        <w:rPr>
          <w:i/>
          <w:iCs/>
        </w:rPr>
        <w:t>Neck</w:t>
      </w:r>
      <w:r>
        <w:t>) to Head-down Bow (</w:t>
      </w:r>
      <w:proofErr w:type="spellStart"/>
      <w:r w:rsidRPr="0042672D">
        <w:rPr>
          <w:i/>
          <w:iCs/>
        </w:rPr>
        <w:t>HdBw</w:t>
      </w:r>
      <w:proofErr w:type="spellEnd"/>
      <w:r>
        <w:t>)</w:t>
      </w:r>
    </w:p>
    <w:p w14:paraId="6D798A5E" w14:textId="77E7B50E" w:rsidR="0042672D" w:rsidRDefault="0042672D" w:rsidP="00155C55">
      <w:pPr>
        <w:ind w:left="720" w:hanging="360"/>
        <w:contextualSpacing/>
      </w:pPr>
      <w:r>
        <w:t xml:space="preserve">Nick's </w:t>
      </w:r>
      <w:r w:rsidR="00A55D43">
        <w:t>lower canopy flybys?</w:t>
      </w:r>
    </w:p>
    <w:p w14:paraId="0F19CE87" w14:textId="708EE8DE" w:rsidR="00372C10" w:rsidRDefault="0054085D" w:rsidP="00155C55">
      <w:pPr>
        <w:ind w:left="720" w:hanging="360"/>
        <w:contextualSpacing/>
      </w:pPr>
      <w:r>
        <w:t>"</w:t>
      </w:r>
      <w:proofErr w:type="spellStart"/>
      <w:r>
        <w:t>Kichup</w:t>
      </w:r>
      <w:proofErr w:type="spellEnd"/>
      <w:r>
        <w:t>" sound in ALAD is a vocalization. See "</w:t>
      </w:r>
      <w:r w:rsidRPr="0054085D">
        <w:t>1519_Taf&amp;kichup ALAD voc</w:t>
      </w:r>
      <w:r>
        <w:t>.mp4" &amp; "</w:t>
      </w:r>
      <w:r w:rsidRPr="0054085D">
        <w:t>1519_CreekLog_11_18_17_</w:t>
      </w:r>
      <w:proofErr w:type="gramStart"/>
      <w:r w:rsidRPr="0054085D">
        <w:t>02</w:t>
      </w:r>
      <w:r>
        <w:t>,mp4</w:t>
      </w:r>
      <w:proofErr w:type="gramEnd"/>
      <w:r>
        <w:t>"</w:t>
      </w:r>
    </w:p>
    <w:p w14:paraId="35889159" w14:textId="4DA7745C" w:rsidR="0054085D" w:rsidRDefault="00E30932" w:rsidP="00155C55">
      <w:pPr>
        <w:ind w:left="720" w:hanging="360"/>
        <w:contextualSpacing/>
      </w:pPr>
      <w:r>
        <w:t xml:space="preserve">I need to check on "Gaping", Nick's fly-bys and wing-flicks. Check email of 22-Oct-22 and new voucher videos in Dropbox. </w:t>
      </w:r>
    </w:p>
    <w:p w14:paraId="1226916E" w14:textId="77777777" w:rsidR="0042672D" w:rsidRDefault="0042672D" w:rsidP="00155C55">
      <w:pPr>
        <w:ind w:left="720" w:hanging="360"/>
        <w:contextualSpacing/>
      </w:pPr>
    </w:p>
    <w:p w14:paraId="0153A718" w14:textId="77777777" w:rsidR="0042672D" w:rsidRDefault="0042672D" w:rsidP="00155C55">
      <w:pPr>
        <w:ind w:left="720" w:hanging="360"/>
        <w:contextualSpacing/>
      </w:pPr>
    </w:p>
    <w:p w14:paraId="0BBC5E50" w14:textId="380CF534" w:rsidR="00E36758" w:rsidRDefault="00E36758" w:rsidP="00155C55">
      <w:pPr>
        <w:ind w:left="720" w:hanging="360"/>
        <w:contextualSpacing/>
      </w:pPr>
      <w:proofErr w:type="spellStart"/>
      <w:r>
        <w:t>Hasenjager</w:t>
      </w:r>
      <w:proofErr w:type="spellEnd"/>
      <w:r>
        <w:t xml:space="preserve">, Matthew J., Victoria R. Franks, and </w:t>
      </w:r>
      <w:proofErr w:type="spellStart"/>
      <w:r>
        <w:t>Ellouise</w:t>
      </w:r>
      <w:proofErr w:type="spellEnd"/>
      <w:r>
        <w:t xml:space="preserve"> Leadbeater. “From Dyads to Collectives: A Review of Honeybee </w:t>
      </w:r>
      <w:proofErr w:type="spellStart"/>
      <w:r>
        <w:t>Signalling</w:t>
      </w:r>
      <w:proofErr w:type="spellEnd"/>
      <w:r>
        <w:t xml:space="preserve">.” </w:t>
      </w:r>
      <w:r w:rsidRPr="00E36758">
        <w:t>Behavioral Ecology and Sociobiology</w:t>
      </w:r>
      <w:r>
        <w:t xml:space="preserve"> 76, no. 9 (September 2022): 124. </w:t>
      </w:r>
      <w:hyperlink r:id="rId18" w:history="1">
        <w:r w:rsidRPr="00E36758">
          <w:t>https://doi.org/10.1007/s00265-022-03218-1</w:t>
        </w:r>
      </w:hyperlink>
      <w:r>
        <w:t xml:space="preserve">     Zotero.</w:t>
      </w:r>
    </w:p>
    <w:p w14:paraId="4767BBE2" w14:textId="2EB9951B" w:rsidR="00E36758" w:rsidRDefault="00E36758" w:rsidP="00155C55">
      <w:pPr>
        <w:ind w:left="720" w:hanging="360"/>
        <w:contextualSpacing/>
      </w:pPr>
      <w:proofErr w:type="spellStart"/>
      <w:r>
        <w:t>Bosshard</w:t>
      </w:r>
      <w:proofErr w:type="spellEnd"/>
      <w:r>
        <w:t xml:space="preserve">, Alexandra B., </w:t>
      </w:r>
      <w:proofErr w:type="spellStart"/>
      <w:r>
        <w:t>Maël</w:t>
      </w:r>
      <w:proofErr w:type="spellEnd"/>
      <w:r>
        <w:t xml:space="preserve"> Leroux, Nicholas A. Lester, Balthasar Bickel, Sabine Stoll, and Simon W. Townsend. “From Collocations to Call-</w:t>
      </w:r>
      <w:proofErr w:type="spellStart"/>
      <w:r>
        <w:t>Ocations</w:t>
      </w:r>
      <w:proofErr w:type="spellEnd"/>
      <w:r>
        <w:t xml:space="preserve">: Using Linguistic Methods to Quantify Animal Call Combinations.” </w:t>
      </w:r>
      <w:r w:rsidRPr="00E36758">
        <w:t>Behavioral Ecology and Sociobiology</w:t>
      </w:r>
      <w:r>
        <w:t xml:space="preserve"> 76, no. 9 (September 2022): 122. </w:t>
      </w:r>
      <w:hyperlink r:id="rId19" w:history="1">
        <w:r w:rsidRPr="00E36758">
          <w:t>https://doi.org/10.1007/s00265-022-03224-3</w:t>
        </w:r>
      </w:hyperlink>
      <w:r>
        <w:t>. Zotero</w:t>
      </w:r>
    </w:p>
    <w:p w14:paraId="36D1D77B" w14:textId="77777777" w:rsidR="00E36758" w:rsidRPr="004A009D" w:rsidRDefault="00E36758" w:rsidP="00155C55">
      <w:pPr>
        <w:ind w:left="720" w:hanging="360"/>
        <w:contextualSpacing/>
      </w:pPr>
    </w:p>
    <w:p w14:paraId="7BB21897" w14:textId="77777777" w:rsidR="00155C55" w:rsidRPr="004A009D" w:rsidRDefault="00155C55">
      <w:pPr>
        <w:ind w:left="720" w:hanging="360"/>
        <w:contextualSpacing/>
      </w:pPr>
    </w:p>
    <w:sectPr w:rsidR="00155C55" w:rsidRPr="004A009D" w:rsidSect="00977DA3">
      <w:headerReference w:type="even" r:id="rId20"/>
      <w:headerReference w:type="default" r:id="rId21"/>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9T14:00:00Z" w:initials="TL">
    <w:p w14:paraId="2B921A96" w14:textId="77777777"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6" w:author="Taylor, Liam" w:date="2023-03-29T15:50:00Z" w:initials="TL">
    <w:p w14:paraId="43C65515" w14:textId="77777777" w:rsidR="003D0065" w:rsidRDefault="003D6B9F" w:rsidP="0021705F">
      <w:r>
        <w:rPr>
          <w:rStyle w:val="CommentReference"/>
        </w:rPr>
        <w:annotationRef/>
      </w:r>
      <w:r w:rsidR="003D0065">
        <w:rPr>
          <w:sz w:val="20"/>
          <w:szCs w:val="20"/>
        </w:rPr>
        <w:t>Replace these comparisons with e.g., chi-squared tests for each element?</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Ex w15:paraId="43C65515"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Extensible w16cex:durableId="27CEDCCF" w16cex:dateUtc="2023-03-29T19:50: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Id w16cid:paraId="43C65515" w16cid:durableId="27CEDCCF"/>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DEB5" w14:textId="77777777" w:rsidR="00064D17" w:rsidRDefault="00064D17" w:rsidP="00030C5D">
      <w:r>
        <w:separator/>
      </w:r>
    </w:p>
  </w:endnote>
  <w:endnote w:type="continuationSeparator" w:id="0">
    <w:p w14:paraId="153F78EB" w14:textId="77777777" w:rsidR="00064D17" w:rsidRDefault="00064D17"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4999" w14:textId="77777777" w:rsidR="00064D17" w:rsidRDefault="00064D17" w:rsidP="00030C5D">
      <w:r>
        <w:separator/>
      </w:r>
    </w:p>
  </w:footnote>
  <w:footnote w:type="continuationSeparator" w:id="0">
    <w:p w14:paraId="72938404" w14:textId="77777777" w:rsidR="00064D17" w:rsidRDefault="00064D17"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3"/>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46DF"/>
    <w:rsid w:val="0003506E"/>
    <w:rsid w:val="00035A0B"/>
    <w:rsid w:val="00036093"/>
    <w:rsid w:val="0004428E"/>
    <w:rsid w:val="00044952"/>
    <w:rsid w:val="00045BB3"/>
    <w:rsid w:val="00046399"/>
    <w:rsid w:val="000467F2"/>
    <w:rsid w:val="000471D1"/>
    <w:rsid w:val="0004784D"/>
    <w:rsid w:val="00051E7E"/>
    <w:rsid w:val="00052080"/>
    <w:rsid w:val="00055908"/>
    <w:rsid w:val="000559CB"/>
    <w:rsid w:val="00056732"/>
    <w:rsid w:val="00057D80"/>
    <w:rsid w:val="00060104"/>
    <w:rsid w:val="000602D7"/>
    <w:rsid w:val="00060E6C"/>
    <w:rsid w:val="00060E72"/>
    <w:rsid w:val="00061E5B"/>
    <w:rsid w:val="00062D23"/>
    <w:rsid w:val="000631DF"/>
    <w:rsid w:val="00064D17"/>
    <w:rsid w:val="00065F74"/>
    <w:rsid w:val="00067FF4"/>
    <w:rsid w:val="00072A25"/>
    <w:rsid w:val="00073502"/>
    <w:rsid w:val="0007491F"/>
    <w:rsid w:val="000751A1"/>
    <w:rsid w:val="00075A1A"/>
    <w:rsid w:val="00075B49"/>
    <w:rsid w:val="0007662D"/>
    <w:rsid w:val="00076E25"/>
    <w:rsid w:val="00077D53"/>
    <w:rsid w:val="0008037F"/>
    <w:rsid w:val="00080730"/>
    <w:rsid w:val="000822CA"/>
    <w:rsid w:val="00082BB6"/>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3D14"/>
    <w:rsid w:val="000A46F7"/>
    <w:rsid w:val="000A51E1"/>
    <w:rsid w:val="000A5411"/>
    <w:rsid w:val="000A7297"/>
    <w:rsid w:val="000A7DB3"/>
    <w:rsid w:val="000B1411"/>
    <w:rsid w:val="000B27C7"/>
    <w:rsid w:val="000B28DA"/>
    <w:rsid w:val="000B4261"/>
    <w:rsid w:val="000B656F"/>
    <w:rsid w:val="000B6DF5"/>
    <w:rsid w:val="000B7723"/>
    <w:rsid w:val="000C1459"/>
    <w:rsid w:val="000C2133"/>
    <w:rsid w:val="000C2706"/>
    <w:rsid w:val="000C4345"/>
    <w:rsid w:val="000C5164"/>
    <w:rsid w:val="000C5AA3"/>
    <w:rsid w:val="000C6B20"/>
    <w:rsid w:val="000C7E6C"/>
    <w:rsid w:val="000D0314"/>
    <w:rsid w:val="000D103B"/>
    <w:rsid w:val="000D1F3B"/>
    <w:rsid w:val="000D320C"/>
    <w:rsid w:val="000D474A"/>
    <w:rsid w:val="000D5133"/>
    <w:rsid w:val="000D5C14"/>
    <w:rsid w:val="000D5D71"/>
    <w:rsid w:val="000D7C18"/>
    <w:rsid w:val="000E2918"/>
    <w:rsid w:val="000E5630"/>
    <w:rsid w:val="000E73D7"/>
    <w:rsid w:val="000F282C"/>
    <w:rsid w:val="000F32FB"/>
    <w:rsid w:val="000F5015"/>
    <w:rsid w:val="000F7056"/>
    <w:rsid w:val="000F7F97"/>
    <w:rsid w:val="0010060A"/>
    <w:rsid w:val="00100EE5"/>
    <w:rsid w:val="00103E6C"/>
    <w:rsid w:val="00104044"/>
    <w:rsid w:val="00105E1C"/>
    <w:rsid w:val="00107651"/>
    <w:rsid w:val="00107E22"/>
    <w:rsid w:val="00112329"/>
    <w:rsid w:val="001129A9"/>
    <w:rsid w:val="00113ABB"/>
    <w:rsid w:val="00114560"/>
    <w:rsid w:val="0011463F"/>
    <w:rsid w:val="00117394"/>
    <w:rsid w:val="00117C6F"/>
    <w:rsid w:val="00117CEE"/>
    <w:rsid w:val="00124DED"/>
    <w:rsid w:val="00125159"/>
    <w:rsid w:val="0012560F"/>
    <w:rsid w:val="00126A68"/>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50CE"/>
    <w:rsid w:val="0014591E"/>
    <w:rsid w:val="001473DD"/>
    <w:rsid w:val="00150143"/>
    <w:rsid w:val="00150408"/>
    <w:rsid w:val="001509F8"/>
    <w:rsid w:val="00150F95"/>
    <w:rsid w:val="00151131"/>
    <w:rsid w:val="00152A5E"/>
    <w:rsid w:val="0015314C"/>
    <w:rsid w:val="0015433B"/>
    <w:rsid w:val="001554B6"/>
    <w:rsid w:val="0015596B"/>
    <w:rsid w:val="00155C55"/>
    <w:rsid w:val="00155F9E"/>
    <w:rsid w:val="001631E7"/>
    <w:rsid w:val="001635F2"/>
    <w:rsid w:val="0017356A"/>
    <w:rsid w:val="00174A80"/>
    <w:rsid w:val="00174EEB"/>
    <w:rsid w:val="0017598C"/>
    <w:rsid w:val="0017694E"/>
    <w:rsid w:val="00177012"/>
    <w:rsid w:val="00177864"/>
    <w:rsid w:val="001804FB"/>
    <w:rsid w:val="0018051B"/>
    <w:rsid w:val="00180993"/>
    <w:rsid w:val="00181318"/>
    <w:rsid w:val="00181E26"/>
    <w:rsid w:val="001824FB"/>
    <w:rsid w:val="00184792"/>
    <w:rsid w:val="001848DC"/>
    <w:rsid w:val="00184E89"/>
    <w:rsid w:val="00185485"/>
    <w:rsid w:val="001915D3"/>
    <w:rsid w:val="00192EB4"/>
    <w:rsid w:val="00193132"/>
    <w:rsid w:val="00194B67"/>
    <w:rsid w:val="00195256"/>
    <w:rsid w:val="001A1ADE"/>
    <w:rsid w:val="001A29DE"/>
    <w:rsid w:val="001A30B1"/>
    <w:rsid w:val="001A31F2"/>
    <w:rsid w:val="001A33FB"/>
    <w:rsid w:val="001A3FE0"/>
    <w:rsid w:val="001A48C6"/>
    <w:rsid w:val="001A72AD"/>
    <w:rsid w:val="001A7490"/>
    <w:rsid w:val="001A7554"/>
    <w:rsid w:val="001B034D"/>
    <w:rsid w:val="001B0D9B"/>
    <w:rsid w:val="001B11AA"/>
    <w:rsid w:val="001B120E"/>
    <w:rsid w:val="001B4185"/>
    <w:rsid w:val="001B42B3"/>
    <w:rsid w:val="001B6A59"/>
    <w:rsid w:val="001B725F"/>
    <w:rsid w:val="001B7D38"/>
    <w:rsid w:val="001C1147"/>
    <w:rsid w:val="001C1CCE"/>
    <w:rsid w:val="001C299A"/>
    <w:rsid w:val="001C37E3"/>
    <w:rsid w:val="001C52DB"/>
    <w:rsid w:val="001C6D9F"/>
    <w:rsid w:val="001D11BB"/>
    <w:rsid w:val="001D31ED"/>
    <w:rsid w:val="001D626C"/>
    <w:rsid w:val="001D69F2"/>
    <w:rsid w:val="001D6BCB"/>
    <w:rsid w:val="001E0D7C"/>
    <w:rsid w:val="001E13D9"/>
    <w:rsid w:val="001E17E7"/>
    <w:rsid w:val="001E3277"/>
    <w:rsid w:val="001E5BB2"/>
    <w:rsid w:val="001E5D1B"/>
    <w:rsid w:val="001E6137"/>
    <w:rsid w:val="001E7BB3"/>
    <w:rsid w:val="001E7FD5"/>
    <w:rsid w:val="001F1220"/>
    <w:rsid w:val="001F185E"/>
    <w:rsid w:val="001F2CC4"/>
    <w:rsid w:val="001F3736"/>
    <w:rsid w:val="001F3EA2"/>
    <w:rsid w:val="001F44A0"/>
    <w:rsid w:val="001F4EA3"/>
    <w:rsid w:val="001F5114"/>
    <w:rsid w:val="001F59C0"/>
    <w:rsid w:val="001F7456"/>
    <w:rsid w:val="0020001C"/>
    <w:rsid w:val="002003D0"/>
    <w:rsid w:val="002014A9"/>
    <w:rsid w:val="00201A05"/>
    <w:rsid w:val="00201F1B"/>
    <w:rsid w:val="002046CB"/>
    <w:rsid w:val="00207597"/>
    <w:rsid w:val="002113FD"/>
    <w:rsid w:val="0021140D"/>
    <w:rsid w:val="0021249F"/>
    <w:rsid w:val="002130D1"/>
    <w:rsid w:val="0021334D"/>
    <w:rsid w:val="00213711"/>
    <w:rsid w:val="002142CD"/>
    <w:rsid w:val="00214D7D"/>
    <w:rsid w:val="002159F0"/>
    <w:rsid w:val="00217125"/>
    <w:rsid w:val="0021732B"/>
    <w:rsid w:val="002208A4"/>
    <w:rsid w:val="00221097"/>
    <w:rsid w:val="00221A1D"/>
    <w:rsid w:val="00221C0B"/>
    <w:rsid w:val="002254A1"/>
    <w:rsid w:val="00227ADD"/>
    <w:rsid w:val="0023093B"/>
    <w:rsid w:val="00231F76"/>
    <w:rsid w:val="00233199"/>
    <w:rsid w:val="00233D40"/>
    <w:rsid w:val="00234153"/>
    <w:rsid w:val="002344EC"/>
    <w:rsid w:val="00234EE8"/>
    <w:rsid w:val="00235B3C"/>
    <w:rsid w:val="00240FCA"/>
    <w:rsid w:val="0024433C"/>
    <w:rsid w:val="00244A2B"/>
    <w:rsid w:val="00244DA1"/>
    <w:rsid w:val="00244E01"/>
    <w:rsid w:val="00244FD9"/>
    <w:rsid w:val="00245517"/>
    <w:rsid w:val="0024587F"/>
    <w:rsid w:val="002458A3"/>
    <w:rsid w:val="00246063"/>
    <w:rsid w:val="00247172"/>
    <w:rsid w:val="002478BA"/>
    <w:rsid w:val="00247FD1"/>
    <w:rsid w:val="0025188C"/>
    <w:rsid w:val="002520AB"/>
    <w:rsid w:val="0025506C"/>
    <w:rsid w:val="00255485"/>
    <w:rsid w:val="0025661D"/>
    <w:rsid w:val="00256DEA"/>
    <w:rsid w:val="00256FC5"/>
    <w:rsid w:val="002579E7"/>
    <w:rsid w:val="00261085"/>
    <w:rsid w:val="00261412"/>
    <w:rsid w:val="002625C6"/>
    <w:rsid w:val="00262644"/>
    <w:rsid w:val="00263617"/>
    <w:rsid w:val="00264A25"/>
    <w:rsid w:val="00264D57"/>
    <w:rsid w:val="00266731"/>
    <w:rsid w:val="00267104"/>
    <w:rsid w:val="00271110"/>
    <w:rsid w:val="00271C1A"/>
    <w:rsid w:val="00272AAB"/>
    <w:rsid w:val="002749F6"/>
    <w:rsid w:val="0027653C"/>
    <w:rsid w:val="00276830"/>
    <w:rsid w:val="0027699C"/>
    <w:rsid w:val="00281032"/>
    <w:rsid w:val="00281C25"/>
    <w:rsid w:val="002824B7"/>
    <w:rsid w:val="00283CF8"/>
    <w:rsid w:val="00286C37"/>
    <w:rsid w:val="002878F4"/>
    <w:rsid w:val="00290990"/>
    <w:rsid w:val="00292464"/>
    <w:rsid w:val="00292D9E"/>
    <w:rsid w:val="002935B2"/>
    <w:rsid w:val="00294420"/>
    <w:rsid w:val="00294679"/>
    <w:rsid w:val="002953F8"/>
    <w:rsid w:val="00296D06"/>
    <w:rsid w:val="00297403"/>
    <w:rsid w:val="00297C00"/>
    <w:rsid w:val="00297F8E"/>
    <w:rsid w:val="002A2132"/>
    <w:rsid w:val="002A2936"/>
    <w:rsid w:val="002A4134"/>
    <w:rsid w:val="002A45CB"/>
    <w:rsid w:val="002A52EF"/>
    <w:rsid w:val="002A60CC"/>
    <w:rsid w:val="002A624A"/>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BF9"/>
    <w:rsid w:val="002C40EF"/>
    <w:rsid w:val="002C49FD"/>
    <w:rsid w:val="002C61AF"/>
    <w:rsid w:val="002C620B"/>
    <w:rsid w:val="002C69B6"/>
    <w:rsid w:val="002C6AA8"/>
    <w:rsid w:val="002C6AED"/>
    <w:rsid w:val="002D046A"/>
    <w:rsid w:val="002D0533"/>
    <w:rsid w:val="002D0858"/>
    <w:rsid w:val="002D1D3A"/>
    <w:rsid w:val="002D49EC"/>
    <w:rsid w:val="002D4DDD"/>
    <w:rsid w:val="002D6EE1"/>
    <w:rsid w:val="002E1AD5"/>
    <w:rsid w:val="002E2074"/>
    <w:rsid w:val="002E53B0"/>
    <w:rsid w:val="002E5B91"/>
    <w:rsid w:val="002E5F7C"/>
    <w:rsid w:val="002E68FE"/>
    <w:rsid w:val="002F0DA9"/>
    <w:rsid w:val="002F1C55"/>
    <w:rsid w:val="002F3F98"/>
    <w:rsid w:val="002F624C"/>
    <w:rsid w:val="002F7382"/>
    <w:rsid w:val="0030140A"/>
    <w:rsid w:val="003021DB"/>
    <w:rsid w:val="00303B34"/>
    <w:rsid w:val="003054FA"/>
    <w:rsid w:val="00305869"/>
    <w:rsid w:val="00306B5F"/>
    <w:rsid w:val="00307470"/>
    <w:rsid w:val="003136D7"/>
    <w:rsid w:val="00313EE5"/>
    <w:rsid w:val="00316440"/>
    <w:rsid w:val="00317B1B"/>
    <w:rsid w:val="00317B33"/>
    <w:rsid w:val="00317BFE"/>
    <w:rsid w:val="00317EE9"/>
    <w:rsid w:val="00321FD7"/>
    <w:rsid w:val="003231D3"/>
    <w:rsid w:val="0032405A"/>
    <w:rsid w:val="003244BB"/>
    <w:rsid w:val="0032537F"/>
    <w:rsid w:val="00325B20"/>
    <w:rsid w:val="00326AEB"/>
    <w:rsid w:val="00332493"/>
    <w:rsid w:val="003330EF"/>
    <w:rsid w:val="00334C1E"/>
    <w:rsid w:val="00335A84"/>
    <w:rsid w:val="00336EA2"/>
    <w:rsid w:val="00337283"/>
    <w:rsid w:val="00340376"/>
    <w:rsid w:val="00340D42"/>
    <w:rsid w:val="00342317"/>
    <w:rsid w:val="00342BA2"/>
    <w:rsid w:val="00343154"/>
    <w:rsid w:val="00343785"/>
    <w:rsid w:val="0034472C"/>
    <w:rsid w:val="003449CB"/>
    <w:rsid w:val="003476AF"/>
    <w:rsid w:val="003479EF"/>
    <w:rsid w:val="003504AD"/>
    <w:rsid w:val="003521D9"/>
    <w:rsid w:val="0035285F"/>
    <w:rsid w:val="00355442"/>
    <w:rsid w:val="00355C3F"/>
    <w:rsid w:val="003563B2"/>
    <w:rsid w:val="0035675B"/>
    <w:rsid w:val="003618E7"/>
    <w:rsid w:val="003635D1"/>
    <w:rsid w:val="0036370E"/>
    <w:rsid w:val="003642CC"/>
    <w:rsid w:val="00364DED"/>
    <w:rsid w:val="0036503D"/>
    <w:rsid w:val="00366F0F"/>
    <w:rsid w:val="00370716"/>
    <w:rsid w:val="00370900"/>
    <w:rsid w:val="00370B93"/>
    <w:rsid w:val="00370CFF"/>
    <w:rsid w:val="00370EFB"/>
    <w:rsid w:val="0037189A"/>
    <w:rsid w:val="003723D8"/>
    <w:rsid w:val="00372C10"/>
    <w:rsid w:val="0037370F"/>
    <w:rsid w:val="00375231"/>
    <w:rsid w:val="00375B36"/>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551F"/>
    <w:rsid w:val="00396ED2"/>
    <w:rsid w:val="003A224F"/>
    <w:rsid w:val="003A4030"/>
    <w:rsid w:val="003A4918"/>
    <w:rsid w:val="003A51DA"/>
    <w:rsid w:val="003A6DE8"/>
    <w:rsid w:val="003B29F8"/>
    <w:rsid w:val="003B4AAE"/>
    <w:rsid w:val="003B663B"/>
    <w:rsid w:val="003C0C8A"/>
    <w:rsid w:val="003C11F7"/>
    <w:rsid w:val="003C13B6"/>
    <w:rsid w:val="003C261F"/>
    <w:rsid w:val="003C31CC"/>
    <w:rsid w:val="003C4204"/>
    <w:rsid w:val="003C56FD"/>
    <w:rsid w:val="003C6B54"/>
    <w:rsid w:val="003C6C5C"/>
    <w:rsid w:val="003D0065"/>
    <w:rsid w:val="003D0401"/>
    <w:rsid w:val="003D0FD5"/>
    <w:rsid w:val="003D133A"/>
    <w:rsid w:val="003D1450"/>
    <w:rsid w:val="003D1845"/>
    <w:rsid w:val="003D282A"/>
    <w:rsid w:val="003D2E71"/>
    <w:rsid w:val="003D33AD"/>
    <w:rsid w:val="003D3DE4"/>
    <w:rsid w:val="003D3E28"/>
    <w:rsid w:val="003D5AE9"/>
    <w:rsid w:val="003D6559"/>
    <w:rsid w:val="003D6B9F"/>
    <w:rsid w:val="003D6F52"/>
    <w:rsid w:val="003E041F"/>
    <w:rsid w:val="003E05E4"/>
    <w:rsid w:val="003E1860"/>
    <w:rsid w:val="003E1E24"/>
    <w:rsid w:val="003E4046"/>
    <w:rsid w:val="003E5032"/>
    <w:rsid w:val="003E52C9"/>
    <w:rsid w:val="003E5E4A"/>
    <w:rsid w:val="003E604F"/>
    <w:rsid w:val="003E6141"/>
    <w:rsid w:val="003E65C0"/>
    <w:rsid w:val="003E6955"/>
    <w:rsid w:val="003E7C34"/>
    <w:rsid w:val="003F1CF2"/>
    <w:rsid w:val="003F258F"/>
    <w:rsid w:val="003F4173"/>
    <w:rsid w:val="003F4D8E"/>
    <w:rsid w:val="003F4E16"/>
    <w:rsid w:val="003F5726"/>
    <w:rsid w:val="003F597E"/>
    <w:rsid w:val="003F5C74"/>
    <w:rsid w:val="003F5EEB"/>
    <w:rsid w:val="003F7A9A"/>
    <w:rsid w:val="003F7AA6"/>
    <w:rsid w:val="0040048C"/>
    <w:rsid w:val="00400B64"/>
    <w:rsid w:val="00401197"/>
    <w:rsid w:val="004041D1"/>
    <w:rsid w:val="00404D8F"/>
    <w:rsid w:val="00405247"/>
    <w:rsid w:val="004076A1"/>
    <w:rsid w:val="00407AEE"/>
    <w:rsid w:val="0041162A"/>
    <w:rsid w:val="00411A90"/>
    <w:rsid w:val="0041290E"/>
    <w:rsid w:val="00412A59"/>
    <w:rsid w:val="00412B7B"/>
    <w:rsid w:val="0041338C"/>
    <w:rsid w:val="00413641"/>
    <w:rsid w:val="0041414D"/>
    <w:rsid w:val="00414A87"/>
    <w:rsid w:val="004155E3"/>
    <w:rsid w:val="0041676E"/>
    <w:rsid w:val="00420463"/>
    <w:rsid w:val="00420FE1"/>
    <w:rsid w:val="0042283E"/>
    <w:rsid w:val="00423B63"/>
    <w:rsid w:val="00425861"/>
    <w:rsid w:val="00426039"/>
    <w:rsid w:val="0042672D"/>
    <w:rsid w:val="00427376"/>
    <w:rsid w:val="004302E8"/>
    <w:rsid w:val="00431035"/>
    <w:rsid w:val="00431515"/>
    <w:rsid w:val="00432A1F"/>
    <w:rsid w:val="00432B53"/>
    <w:rsid w:val="00432E81"/>
    <w:rsid w:val="00433E1B"/>
    <w:rsid w:val="00434AB9"/>
    <w:rsid w:val="00435651"/>
    <w:rsid w:val="00436B4B"/>
    <w:rsid w:val="00437645"/>
    <w:rsid w:val="004378B2"/>
    <w:rsid w:val="00441DAD"/>
    <w:rsid w:val="00441EED"/>
    <w:rsid w:val="00442E44"/>
    <w:rsid w:val="004434F4"/>
    <w:rsid w:val="00443769"/>
    <w:rsid w:val="0044388B"/>
    <w:rsid w:val="004447B5"/>
    <w:rsid w:val="00450884"/>
    <w:rsid w:val="00451EE9"/>
    <w:rsid w:val="00452C49"/>
    <w:rsid w:val="00452DFF"/>
    <w:rsid w:val="00453F61"/>
    <w:rsid w:val="00454F03"/>
    <w:rsid w:val="00455B91"/>
    <w:rsid w:val="00455F00"/>
    <w:rsid w:val="0045649E"/>
    <w:rsid w:val="00461EF0"/>
    <w:rsid w:val="00463310"/>
    <w:rsid w:val="00463659"/>
    <w:rsid w:val="00464C82"/>
    <w:rsid w:val="00465546"/>
    <w:rsid w:val="004664E3"/>
    <w:rsid w:val="00467474"/>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61D3"/>
    <w:rsid w:val="004861DD"/>
    <w:rsid w:val="004902C1"/>
    <w:rsid w:val="0049126F"/>
    <w:rsid w:val="0049151D"/>
    <w:rsid w:val="00492F58"/>
    <w:rsid w:val="0049498E"/>
    <w:rsid w:val="00494C8A"/>
    <w:rsid w:val="004A009D"/>
    <w:rsid w:val="004A0928"/>
    <w:rsid w:val="004A0AD2"/>
    <w:rsid w:val="004A0B9E"/>
    <w:rsid w:val="004A0DB9"/>
    <w:rsid w:val="004A0F37"/>
    <w:rsid w:val="004A2494"/>
    <w:rsid w:val="004A42EF"/>
    <w:rsid w:val="004A52A9"/>
    <w:rsid w:val="004A6E77"/>
    <w:rsid w:val="004A7C03"/>
    <w:rsid w:val="004B029E"/>
    <w:rsid w:val="004B08E9"/>
    <w:rsid w:val="004B0C4E"/>
    <w:rsid w:val="004B0DAF"/>
    <w:rsid w:val="004B0F23"/>
    <w:rsid w:val="004B2A34"/>
    <w:rsid w:val="004B2C98"/>
    <w:rsid w:val="004B3EF7"/>
    <w:rsid w:val="004B4109"/>
    <w:rsid w:val="004B4575"/>
    <w:rsid w:val="004B5E51"/>
    <w:rsid w:val="004C2139"/>
    <w:rsid w:val="004C29CC"/>
    <w:rsid w:val="004C2F2E"/>
    <w:rsid w:val="004C31E0"/>
    <w:rsid w:val="004C3AA1"/>
    <w:rsid w:val="004C5D7A"/>
    <w:rsid w:val="004C653A"/>
    <w:rsid w:val="004C699D"/>
    <w:rsid w:val="004C7251"/>
    <w:rsid w:val="004C7C00"/>
    <w:rsid w:val="004D043A"/>
    <w:rsid w:val="004D112B"/>
    <w:rsid w:val="004D15BD"/>
    <w:rsid w:val="004D1951"/>
    <w:rsid w:val="004D2729"/>
    <w:rsid w:val="004D2F9F"/>
    <w:rsid w:val="004D562E"/>
    <w:rsid w:val="004D62B1"/>
    <w:rsid w:val="004E0508"/>
    <w:rsid w:val="004E1A57"/>
    <w:rsid w:val="004E1A80"/>
    <w:rsid w:val="004E22A3"/>
    <w:rsid w:val="004E2816"/>
    <w:rsid w:val="004E2A8B"/>
    <w:rsid w:val="004E331E"/>
    <w:rsid w:val="004E34F9"/>
    <w:rsid w:val="004E3952"/>
    <w:rsid w:val="004E3A02"/>
    <w:rsid w:val="004E4463"/>
    <w:rsid w:val="004E4D0A"/>
    <w:rsid w:val="004E4F26"/>
    <w:rsid w:val="004E5018"/>
    <w:rsid w:val="004E5073"/>
    <w:rsid w:val="004E5A3A"/>
    <w:rsid w:val="004E6D20"/>
    <w:rsid w:val="004E753D"/>
    <w:rsid w:val="004E7900"/>
    <w:rsid w:val="004E7DB9"/>
    <w:rsid w:val="004E7E1F"/>
    <w:rsid w:val="004F0D3D"/>
    <w:rsid w:val="004F1BFA"/>
    <w:rsid w:val="004F1D0D"/>
    <w:rsid w:val="004F1E14"/>
    <w:rsid w:val="004F265A"/>
    <w:rsid w:val="004F26A0"/>
    <w:rsid w:val="004F30C8"/>
    <w:rsid w:val="004F4C73"/>
    <w:rsid w:val="004F541B"/>
    <w:rsid w:val="004F6E56"/>
    <w:rsid w:val="004F7A72"/>
    <w:rsid w:val="00500F17"/>
    <w:rsid w:val="0050180C"/>
    <w:rsid w:val="005024D2"/>
    <w:rsid w:val="0050290C"/>
    <w:rsid w:val="0050326D"/>
    <w:rsid w:val="005033D7"/>
    <w:rsid w:val="00505246"/>
    <w:rsid w:val="0050570A"/>
    <w:rsid w:val="00505BB9"/>
    <w:rsid w:val="00505E36"/>
    <w:rsid w:val="00505FB1"/>
    <w:rsid w:val="005122C7"/>
    <w:rsid w:val="00512614"/>
    <w:rsid w:val="005133A2"/>
    <w:rsid w:val="0051635D"/>
    <w:rsid w:val="00516D6B"/>
    <w:rsid w:val="00522543"/>
    <w:rsid w:val="00522E89"/>
    <w:rsid w:val="00522E9C"/>
    <w:rsid w:val="005242EE"/>
    <w:rsid w:val="00525B7E"/>
    <w:rsid w:val="00525BB2"/>
    <w:rsid w:val="00531CBA"/>
    <w:rsid w:val="00531F70"/>
    <w:rsid w:val="005358DE"/>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424"/>
    <w:rsid w:val="00561F59"/>
    <w:rsid w:val="0056349A"/>
    <w:rsid w:val="0056527E"/>
    <w:rsid w:val="00566B23"/>
    <w:rsid w:val="00567315"/>
    <w:rsid w:val="00567A02"/>
    <w:rsid w:val="00570465"/>
    <w:rsid w:val="0057126D"/>
    <w:rsid w:val="005724E4"/>
    <w:rsid w:val="005740EF"/>
    <w:rsid w:val="00576320"/>
    <w:rsid w:val="00581380"/>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F2C"/>
    <w:rsid w:val="005A26B3"/>
    <w:rsid w:val="005A359A"/>
    <w:rsid w:val="005A3F38"/>
    <w:rsid w:val="005A5BB0"/>
    <w:rsid w:val="005A616B"/>
    <w:rsid w:val="005A6804"/>
    <w:rsid w:val="005A7F05"/>
    <w:rsid w:val="005B12FE"/>
    <w:rsid w:val="005B2087"/>
    <w:rsid w:val="005B448B"/>
    <w:rsid w:val="005B4A81"/>
    <w:rsid w:val="005B5187"/>
    <w:rsid w:val="005B5D64"/>
    <w:rsid w:val="005B6C23"/>
    <w:rsid w:val="005C004C"/>
    <w:rsid w:val="005C152D"/>
    <w:rsid w:val="005C2676"/>
    <w:rsid w:val="005C2F65"/>
    <w:rsid w:val="005C3322"/>
    <w:rsid w:val="005C3480"/>
    <w:rsid w:val="005C3B75"/>
    <w:rsid w:val="005C4E18"/>
    <w:rsid w:val="005C624B"/>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FCB"/>
    <w:rsid w:val="006062F5"/>
    <w:rsid w:val="0060650E"/>
    <w:rsid w:val="00607C1F"/>
    <w:rsid w:val="00611B1E"/>
    <w:rsid w:val="00612CD7"/>
    <w:rsid w:val="00612E78"/>
    <w:rsid w:val="00613740"/>
    <w:rsid w:val="00613D6E"/>
    <w:rsid w:val="006149E6"/>
    <w:rsid w:val="0061521F"/>
    <w:rsid w:val="00615709"/>
    <w:rsid w:val="006178A9"/>
    <w:rsid w:val="00617E43"/>
    <w:rsid w:val="0062059A"/>
    <w:rsid w:val="00620D9C"/>
    <w:rsid w:val="006215AA"/>
    <w:rsid w:val="00621F79"/>
    <w:rsid w:val="00622FB7"/>
    <w:rsid w:val="0062371C"/>
    <w:rsid w:val="0062383F"/>
    <w:rsid w:val="0062487E"/>
    <w:rsid w:val="006255D6"/>
    <w:rsid w:val="006256FB"/>
    <w:rsid w:val="00627F5C"/>
    <w:rsid w:val="006307F0"/>
    <w:rsid w:val="00632608"/>
    <w:rsid w:val="00632B30"/>
    <w:rsid w:val="00634D10"/>
    <w:rsid w:val="006353E5"/>
    <w:rsid w:val="00636EDF"/>
    <w:rsid w:val="00637633"/>
    <w:rsid w:val="006376A3"/>
    <w:rsid w:val="00642715"/>
    <w:rsid w:val="006427A9"/>
    <w:rsid w:val="00642D79"/>
    <w:rsid w:val="00646880"/>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396F"/>
    <w:rsid w:val="00664EAC"/>
    <w:rsid w:val="0066580C"/>
    <w:rsid w:val="006679F3"/>
    <w:rsid w:val="0067047A"/>
    <w:rsid w:val="00674248"/>
    <w:rsid w:val="006753D5"/>
    <w:rsid w:val="00675635"/>
    <w:rsid w:val="0067567D"/>
    <w:rsid w:val="00675C98"/>
    <w:rsid w:val="00676083"/>
    <w:rsid w:val="00677177"/>
    <w:rsid w:val="00680408"/>
    <w:rsid w:val="00681087"/>
    <w:rsid w:val="00681836"/>
    <w:rsid w:val="00682EF5"/>
    <w:rsid w:val="0068438C"/>
    <w:rsid w:val="006854E0"/>
    <w:rsid w:val="00686AE7"/>
    <w:rsid w:val="006872A3"/>
    <w:rsid w:val="006931DB"/>
    <w:rsid w:val="006938CF"/>
    <w:rsid w:val="006943E2"/>
    <w:rsid w:val="0069445D"/>
    <w:rsid w:val="00695688"/>
    <w:rsid w:val="00695A68"/>
    <w:rsid w:val="00695C35"/>
    <w:rsid w:val="00697519"/>
    <w:rsid w:val="00697E1A"/>
    <w:rsid w:val="006A3B0F"/>
    <w:rsid w:val="006A3CAE"/>
    <w:rsid w:val="006A53DB"/>
    <w:rsid w:val="006A5A1C"/>
    <w:rsid w:val="006A5DCC"/>
    <w:rsid w:val="006A6CF8"/>
    <w:rsid w:val="006A7205"/>
    <w:rsid w:val="006A7807"/>
    <w:rsid w:val="006B09CB"/>
    <w:rsid w:val="006B0A09"/>
    <w:rsid w:val="006B262B"/>
    <w:rsid w:val="006B3710"/>
    <w:rsid w:val="006B3E88"/>
    <w:rsid w:val="006B55FC"/>
    <w:rsid w:val="006B5D44"/>
    <w:rsid w:val="006B6242"/>
    <w:rsid w:val="006B79A9"/>
    <w:rsid w:val="006C1FAF"/>
    <w:rsid w:val="006C34AF"/>
    <w:rsid w:val="006C46F6"/>
    <w:rsid w:val="006C4C45"/>
    <w:rsid w:val="006C4CD0"/>
    <w:rsid w:val="006C568D"/>
    <w:rsid w:val="006C5D16"/>
    <w:rsid w:val="006C73CD"/>
    <w:rsid w:val="006D07D4"/>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701106"/>
    <w:rsid w:val="00704B34"/>
    <w:rsid w:val="00705D83"/>
    <w:rsid w:val="00706B30"/>
    <w:rsid w:val="0070708F"/>
    <w:rsid w:val="0071087D"/>
    <w:rsid w:val="00710AEF"/>
    <w:rsid w:val="00710C51"/>
    <w:rsid w:val="00710F39"/>
    <w:rsid w:val="00712AF1"/>
    <w:rsid w:val="007132D7"/>
    <w:rsid w:val="007150FF"/>
    <w:rsid w:val="00715A3E"/>
    <w:rsid w:val="00717491"/>
    <w:rsid w:val="00717579"/>
    <w:rsid w:val="0071768E"/>
    <w:rsid w:val="00720AD8"/>
    <w:rsid w:val="007211B6"/>
    <w:rsid w:val="00721345"/>
    <w:rsid w:val="007213C4"/>
    <w:rsid w:val="00723DFD"/>
    <w:rsid w:val="00724703"/>
    <w:rsid w:val="007247A6"/>
    <w:rsid w:val="00724DD2"/>
    <w:rsid w:val="00725ADD"/>
    <w:rsid w:val="007266B6"/>
    <w:rsid w:val="00731EDC"/>
    <w:rsid w:val="007325D7"/>
    <w:rsid w:val="00732E2E"/>
    <w:rsid w:val="007358B4"/>
    <w:rsid w:val="00735F0A"/>
    <w:rsid w:val="0073799A"/>
    <w:rsid w:val="007408A0"/>
    <w:rsid w:val="00741970"/>
    <w:rsid w:val="00743228"/>
    <w:rsid w:val="007469A9"/>
    <w:rsid w:val="00746DA5"/>
    <w:rsid w:val="00747A0C"/>
    <w:rsid w:val="007502DB"/>
    <w:rsid w:val="00751E19"/>
    <w:rsid w:val="00753726"/>
    <w:rsid w:val="00754433"/>
    <w:rsid w:val="007547B1"/>
    <w:rsid w:val="00755C98"/>
    <w:rsid w:val="00756537"/>
    <w:rsid w:val="007573A7"/>
    <w:rsid w:val="00760D98"/>
    <w:rsid w:val="00762963"/>
    <w:rsid w:val="007637F8"/>
    <w:rsid w:val="00770FF7"/>
    <w:rsid w:val="00772C93"/>
    <w:rsid w:val="00772D26"/>
    <w:rsid w:val="007733E0"/>
    <w:rsid w:val="00774770"/>
    <w:rsid w:val="0077625E"/>
    <w:rsid w:val="0077673C"/>
    <w:rsid w:val="007770CA"/>
    <w:rsid w:val="0078029A"/>
    <w:rsid w:val="007806F0"/>
    <w:rsid w:val="007815CE"/>
    <w:rsid w:val="007816AE"/>
    <w:rsid w:val="00785EC5"/>
    <w:rsid w:val="00786E24"/>
    <w:rsid w:val="007878A6"/>
    <w:rsid w:val="0079194C"/>
    <w:rsid w:val="00792575"/>
    <w:rsid w:val="00795E65"/>
    <w:rsid w:val="00795FDE"/>
    <w:rsid w:val="00796076"/>
    <w:rsid w:val="007961A7"/>
    <w:rsid w:val="007969E7"/>
    <w:rsid w:val="007A0F43"/>
    <w:rsid w:val="007A2085"/>
    <w:rsid w:val="007A2DA3"/>
    <w:rsid w:val="007A3383"/>
    <w:rsid w:val="007A3F47"/>
    <w:rsid w:val="007A430D"/>
    <w:rsid w:val="007A4CB9"/>
    <w:rsid w:val="007A5285"/>
    <w:rsid w:val="007A7BC5"/>
    <w:rsid w:val="007B1005"/>
    <w:rsid w:val="007B1E58"/>
    <w:rsid w:val="007B209E"/>
    <w:rsid w:val="007B231D"/>
    <w:rsid w:val="007B2841"/>
    <w:rsid w:val="007B32BD"/>
    <w:rsid w:val="007B591F"/>
    <w:rsid w:val="007C02F4"/>
    <w:rsid w:val="007C132B"/>
    <w:rsid w:val="007C1828"/>
    <w:rsid w:val="007C3C10"/>
    <w:rsid w:val="007C4BB2"/>
    <w:rsid w:val="007C4D45"/>
    <w:rsid w:val="007C5C48"/>
    <w:rsid w:val="007C65C7"/>
    <w:rsid w:val="007C6646"/>
    <w:rsid w:val="007C681D"/>
    <w:rsid w:val="007C75FD"/>
    <w:rsid w:val="007D0C64"/>
    <w:rsid w:val="007D164F"/>
    <w:rsid w:val="007D2B57"/>
    <w:rsid w:val="007D396F"/>
    <w:rsid w:val="007D4C76"/>
    <w:rsid w:val="007D4F42"/>
    <w:rsid w:val="007D562B"/>
    <w:rsid w:val="007D57A0"/>
    <w:rsid w:val="007D5A05"/>
    <w:rsid w:val="007D5BE3"/>
    <w:rsid w:val="007D5C59"/>
    <w:rsid w:val="007E0A0F"/>
    <w:rsid w:val="007E0C86"/>
    <w:rsid w:val="007E0FA4"/>
    <w:rsid w:val="007E10B2"/>
    <w:rsid w:val="007E2A4C"/>
    <w:rsid w:val="007E3999"/>
    <w:rsid w:val="007E5204"/>
    <w:rsid w:val="007E5DB3"/>
    <w:rsid w:val="007E61B6"/>
    <w:rsid w:val="007E69F0"/>
    <w:rsid w:val="007E6BC7"/>
    <w:rsid w:val="007E7059"/>
    <w:rsid w:val="007F0B9F"/>
    <w:rsid w:val="007F17C4"/>
    <w:rsid w:val="007F29C5"/>
    <w:rsid w:val="007F42E8"/>
    <w:rsid w:val="007F5639"/>
    <w:rsid w:val="007F5BBA"/>
    <w:rsid w:val="007F5CA4"/>
    <w:rsid w:val="007F6852"/>
    <w:rsid w:val="00800C6D"/>
    <w:rsid w:val="00801968"/>
    <w:rsid w:val="008020EA"/>
    <w:rsid w:val="00802179"/>
    <w:rsid w:val="00803BF2"/>
    <w:rsid w:val="00804C09"/>
    <w:rsid w:val="00804C63"/>
    <w:rsid w:val="00806389"/>
    <w:rsid w:val="00806DEA"/>
    <w:rsid w:val="0081033D"/>
    <w:rsid w:val="00810F63"/>
    <w:rsid w:val="00811662"/>
    <w:rsid w:val="00811953"/>
    <w:rsid w:val="00811D46"/>
    <w:rsid w:val="008130FB"/>
    <w:rsid w:val="0081331F"/>
    <w:rsid w:val="0081348A"/>
    <w:rsid w:val="00814833"/>
    <w:rsid w:val="00815724"/>
    <w:rsid w:val="0081734C"/>
    <w:rsid w:val="008203DC"/>
    <w:rsid w:val="008217DA"/>
    <w:rsid w:val="00821DF8"/>
    <w:rsid w:val="00822828"/>
    <w:rsid w:val="00822906"/>
    <w:rsid w:val="00822D28"/>
    <w:rsid w:val="00822FD4"/>
    <w:rsid w:val="0082504A"/>
    <w:rsid w:val="00826D6F"/>
    <w:rsid w:val="00827477"/>
    <w:rsid w:val="00827748"/>
    <w:rsid w:val="00830C87"/>
    <w:rsid w:val="00830E3B"/>
    <w:rsid w:val="00831E4A"/>
    <w:rsid w:val="0083290A"/>
    <w:rsid w:val="00832C51"/>
    <w:rsid w:val="008338CE"/>
    <w:rsid w:val="008341C6"/>
    <w:rsid w:val="0083486E"/>
    <w:rsid w:val="008350EE"/>
    <w:rsid w:val="0083573D"/>
    <w:rsid w:val="00835F84"/>
    <w:rsid w:val="008367AB"/>
    <w:rsid w:val="0083697F"/>
    <w:rsid w:val="00840036"/>
    <w:rsid w:val="00840C0F"/>
    <w:rsid w:val="008426B5"/>
    <w:rsid w:val="008431B8"/>
    <w:rsid w:val="008432EC"/>
    <w:rsid w:val="008451A7"/>
    <w:rsid w:val="0084547D"/>
    <w:rsid w:val="00845952"/>
    <w:rsid w:val="00846618"/>
    <w:rsid w:val="0085065C"/>
    <w:rsid w:val="008512F3"/>
    <w:rsid w:val="00851738"/>
    <w:rsid w:val="00851F12"/>
    <w:rsid w:val="00852096"/>
    <w:rsid w:val="0085336D"/>
    <w:rsid w:val="0085342D"/>
    <w:rsid w:val="00853BD6"/>
    <w:rsid w:val="00853C2F"/>
    <w:rsid w:val="00855302"/>
    <w:rsid w:val="0085732E"/>
    <w:rsid w:val="00857FEE"/>
    <w:rsid w:val="008620DF"/>
    <w:rsid w:val="0086280D"/>
    <w:rsid w:val="00864AEF"/>
    <w:rsid w:val="00865222"/>
    <w:rsid w:val="0086568F"/>
    <w:rsid w:val="00865DCB"/>
    <w:rsid w:val="0087236F"/>
    <w:rsid w:val="008738F0"/>
    <w:rsid w:val="008742F1"/>
    <w:rsid w:val="00874FA9"/>
    <w:rsid w:val="00875422"/>
    <w:rsid w:val="00880302"/>
    <w:rsid w:val="00882438"/>
    <w:rsid w:val="008824F4"/>
    <w:rsid w:val="00883914"/>
    <w:rsid w:val="00884765"/>
    <w:rsid w:val="00885081"/>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71CC"/>
    <w:rsid w:val="00897FDD"/>
    <w:rsid w:val="008A050F"/>
    <w:rsid w:val="008A08E3"/>
    <w:rsid w:val="008A0F19"/>
    <w:rsid w:val="008A1B2A"/>
    <w:rsid w:val="008A1C52"/>
    <w:rsid w:val="008A3001"/>
    <w:rsid w:val="008A4626"/>
    <w:rsid w:val="008A471F"/>
    <w:rsid w:val="008A4F1D"/>
    <w:rsid w:val="008A5455"/>
    <w:rsid w:val="008A6CB9"/>
    <w:rsid w:val="008B2ACB"/>
    <w:rsid w:val="008B318C"/>
    <w:rsid w:val="008B50E9"/>
    <w:rsid w:val="008B5CAF"/>
    <w:rsid w:val="008B60BC"/>
    <w:rsid w:val="008B6309"/>
    <w:rsid w:val="008B636C"/>
    <w:rsid w:val="008B6DED"/>
    <w:rsid w:val="008B6F21"/>
    <w:rsid w:val="008B7F2F"/>
    <w:rsid w:val="008C39DC"/>
    <w:rsid w:val="008C4D80"/>
    <w:rsid w:val="008C6225"/>
    <w:rsid w:val="008D077E"/>
    <w:rsid w:val="008D1375"/>
    <w:rsid w:val="008D48FD"/>
    <w:rsid w:val="008D4BF7"/>
    <w:rsid w:val="008D6845"/>
    <w:rsid w:val="008E01F5"/>
    <w:rsid w:val="008E18BB"/>
    <w:rsid w:val="008E345B"/>
    <w:rsid w:val="008E3D17"/>
    <w:rsid w:val="008E480A"/>
    <w:rsid w:val="008E6F07"/>
    <w:rsid w:val="008F0D18"/>
    <w:rsid w:val="008F2445"/>
    <w:rsid w:val="008F2D17"/>
    <w:rsid w:val="008F2EF1"/>
    <w:rsid w:val="008F3848"/>
    <w:rsid w:val="008F3D78"/>
    <w:rsid w:val="008F3EA2"/>
    <w:rsid w:val="008F46D2"/>
    <w:rsid w:val="008F7DF6"/>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668"/>
    <w:rsid w:val="0092275C"/>
    <w:rsid w:val="00926A34"/>
    <w:rsid w:val="00926C41"/>
    <w:rsid w:val="0093221D"/>
    <w:rsid w:val="00933918"/>
    <w:rsid w:val="00934481"/>
    <w:rsid w:val="00934D5B"/>
    <w:rsid w:val="00934E81"/>
    <w:rsid w:val="009351EF"/>
    <w:rsid w:val="00936175"/>
    <w:rsid w:val="0093659E"/>
    <w:rsid w:val="00936EF6"/>
    <w:rsid w:val="00940DC6"/>
    <w:rsid w:val="00941562"/>
    <w:rsid w:val="00941FA3"/>
    <w:rsid w:val="0094237E"/>
    <w:rsid w:val="00943A85"/>
    <w:rsid w:val="009444D9"/>
    <w:rsid w:val="00944A23"/>
    <w:rsid w:val="00944F6E"/>
    <w:rsid w:val="0094510F"/>
    <w:rsid w:val="0094788D"/>
    <w:rsid w:val="00947CC5"/>
    <w:rsid w:val="00947D75"/>
    <w:rsid w:val="00950079"/>
    <w:rsid w:val="009502AB"/>
    <w:rsid w:val="00951475"/>
    <w:rsid w:val="009518A1"/>
    <w:rsid w:val="00953BDC"/>
    <w:rsid w:val="00954DFC"/>
    <w:rsid w:val="00957B5E"/>
    <w:rsid w:val="00957F69"/>
    <w:rsid w:val="00963AF2"/>
    <w:rsid w:val="009646EC"/>
    <w:rsid w:val="009647E5"/>
    <w:rsid w:val="009654B6"/>
    <w:rsid w:val="009667FB"/>
    <w:rsid w:val="0096750B"/>
    <w:rsid w:val="00967668"/>
    <w:rsid w:val="0096785F"/>
    <w:rsid w:val="00967E9B"/>
    <w:rsid w:val="00971CED"/>
    <w:rsid w:val="0097250D"/>
    <w:rsid w:val="00973078"/>
    <w:rsid w:val="00974B2C"/>
    <w:rsid w:val="00974EA4"/>
    <w:rsid w:val="00975BD2"/>
    <w:rsid w:val="00977841"/>
    <w:rsid w:val="00977A35"/>
    <w:rsid w:val="00977DA3"/>
    <w:rsid w:val="00980AB7"/>
    <w:rsid w:val="00980F37"/>
    <w:rsid w:val="00981C87"/>
    <w:rsid w:val="009822DB"/>
    <w:rsid w:val="00983A56"/>
    <w:rsid w:val="00983D54"/>
    <w:rsid w:val="00983EDC"/>
    <w:rsid w:val="0098435C"/>
    <w:rsid w:val="00984973"/>
    <w:rsid w:val="009869F6"/>
    <w:rsid w:val="00987CB2"/>
    <w:rsid w:val="00991938"/>
    <w:rsid w:val="00991C91"/>
    <w:rsid w:val="00991D3A"/>
    <w:rsid w:val="00992DD5"/>
    <w:rsid w:val="009935D8"/>
    <w:rsid w:val="00993A37"/>
    <w:rsid w:val="00994AA2"/>
    <w:rsid w:val="00994FA2"/>
    <w:rsid w:val="00996865"/>
    <w:rsid w:val="009A3FAA"/>
    <w:rsid w:val="009A6A6B"/>
    <w:rsid w:val="009A74AC"/>
    <w:rsid w:val="009A7A50"/>
    <w:rsid w:val="009B0FAE"/>
    <w:rsid w:val="009B1D53"/>
    <w:rsid w:val="009B37A5"/>
    <w:rsid w:val="009B412F"/>
    <w:rsid w:val="009B4145"/>
    <w:rsid w:val="009B4AD1"/>
    <w:rsid w:val="009B60AD"/>
    <w:rsid w:val="009B65F1"/>
    <w:rsid w:val="009B6D04"/>
    <w:rsid w:val="009B6FDC"/>
    <w:rsid w:val="009C1A0B"/>
    <w:rsid w:val="009C1FBC"/>
    <w:rsid w:val="009C21F6"/>
    <w:rsid w:val="009C5730"/>
    <w:rsid w:val="009C720C"/>
    <w:rsid w:val="009D1185"/>
    <w:rsid w:val="009D1251"/>
    <w:rsid w:val="009D2C12"/>
    <w:rsid w:val="009D34FD"/>
    <w:rsid w:val="009D37FB"/>
    <w:rsid w:val="009D5272"/>
    <w:rsid w:val="009D530A"/>
    <w:rsid w:val="009D7A27"/>
    <w:rsid w:val="009E1D63"/>
    <w:rsid w:val="009E1D74"/>
    <w:rsid w:val="009E1FF6"/>
    <w:rsid w:val="009E23FE"/>
    <w:rsid w:val="009E3032"/>
    <w:rsid w:val="009E4154"/>
    <w:rsid w:val="009E6073"/>
    <w:rsid w:val="009E6E57"/>
    <w:rsid w:val="009E7227"/>
    <w:rsid w:val="009E7263"/>
    <w:rsid w:val="009E7330"/>
    <w:rsid w:val="009E7673"/>
    <w:rsid w:val="009E7E6A"/>
    <w:rsid w:val="009F053A"/>
    <w:rsid w:val="009F3800"/>
    <w:rsid w:val="009F3EAB"/>
    <w:rsid w:val="009F400B"/>
    <w:rsid w:val="009F4099"/>
    <w:rsid w:val="009F5290"/>
    <w:rsid w:val="009F5E51"/>
    <w:rsid w:val="009F641E"/>
    <w:rsid w:val="009F682F"/>
    <w:rsid w:val="009F79B0"/>
    <w:rsid w:val="009F7D3F"/>
    <w:rsid w:val="00A0068B"/>
    <w:rsid w:val="00A017AA"/>
    <w:rsid w:val="00A02A20"/>
    <w:rsid w:val="00A03D9F"/>
    <w:rsid w:val="00A040EF"/>
    <w:rsid w:val="00A045D8"/>
    <w:rsid w:val="00A046A0"/>
    <w:rsid w:val="00A05139"/>
    <w:rsid w:val="00A079D9"/>
    <w:rsid w:val="00A10E4A"/>
    <w:rsid w:val="00A11CC9"/>
    <w:rsid w:val="00A12618"/>
    <w:rsid w:val="00A1381D"/>
    <w:rsid w:val="00A14632"/>
    <w:rsid w:val="00A15054"/>
    <w:rsid w:val="00A15A07"/>
    <w:rsid w:val="00A15F57"/>
    <w:rsid w:val="00A17C68"/>
    <w:rsid w:val="00A20A05"/>
    <w:rsid w:val="00A20DDD"/>
    <w:rsid w:val="00A22461"/>
    <w:rsid w:val="00A2265D"/>
    <w:rsid w:val="00A22E6E"/>
    <w:rsid w:val="00A2373D"/>
    <w:rsid w:val="00A25186"/>
    <w:rsid w:val="00A300D9"/>
    <w:rsid w:val="00A31821"/>
    <w:rsid w:val="00A320C5"/>
    <w:rsid w:val="00A32BDA"/>
    <w:rsid w:val="00A32F0B"/>
    <w:rsid w:val="00A33D46"/>
    <w:rsid w:val="00A348E4"/>
    <w:rsid w:val="00A34D78"/>
    <w:rsid w:val="00A36A36"/>
    <w:rsid w:val="00A36C42"/>
    <w:rsid w:val="00A37F04"/>
    <w:rsid w:val="00A44172"/>
    <w:rsid w:val="00A441F5"/>
    <w:rsid w:val="00A4500A"/>
    <w:rsid w:val="00A45CB6"/>
    <w:rsid w:val="00A47F4E"/>
    <w:rsid w:val="00A511D4"/>
    <w:rsid w:val="00A514D4"/>
    <w:rsid w:val="00A52451"/>
    <w:rsid w:val="00A5271F"/>
    <w:rsid w:val="00A55D43"/>
    <w:rsid w:val="00A560FB"/>
    <w:rsid w:val="00A56F6B"/>
    <w:rsid w:val="00A574D0"/>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AC8"/>
    <w:rsid w:val="00A80501"/>
    <w:rsid w:val="00A81205"/>
    <w:rsid w:val="00A81749"/>
    <w:rsid w:val="00A8275B"/>
    <w:rsid w:val="00A82835"/>
    <w:rsid w:val="00A85618"/>
    <w:rsid w:val="00A86341"/>
    <w:rsid w:val="00A8661C"/>
    <w:rsid w:val="00A86673"/>
    <w:rsid w:val="00A86B47"/>
    <w:rsid w:val="00A90627"/>
    <w:rsid w:val="00A90B19"/>
    <w:rsid w:val="00A910C2"/>
    <w:rsid w:val="00A91152"/>
    <w:rsid w:val="00A91C4B"/>
    <w:rsid w:val="00A938D8"/>
    <w:rsid w:val="00A94254"/>
    <w:rsid w:val="00A9451E"/>
    <w:rsid w:val="00A94E81"/>
    <w:rsid w:val="00A953D2"/>
    <w:rsid w:val="00A95E2A"/>
    <w:rsid w:val="00A96952"/>
    <w:rsid w:val="00A9720D"/>
    <w:rsid w:val="00AA1BC2"/>
    <w:rsid w:val="00AA27AD"/>
    <w:rsid w:val="00AA2EEF"/>
    <w:rsid w:val="00AA4129"/>
    <w:rsid w:val="00AA44BA"/>
    <w:rsid w:val="00AA4E34"/>
    <w:rsid w:val="00AA5376"/>
    <w:rsid w:val="00AA5AF1"/>
    <w:rsid w:val="00AB0D14"/>
    <w:rsid w:val="00AB0ED9"/>
    <w:rsid w:val="00AB1774"/>
    <w:rsid w:val="00AB1CC2"/>
    <w:rsid w:val="00AB27AB"/>
    <w:rsid w:val="00AB55A3"/>
    <w:rsid w:val="00AB5C47"/>
    <w:rsid w:val="00AB6F62"/>
    <w:rsid w:val="00AC09D1"/>
    <w:rsid w:val="00AC1ABB"/>
    <w:rsid w:val="00AC1ED8"/>
    <w:rsid w:val="00AC244D"/>
    <w:rsid w:val="00AC4627"/>
    <w:rsid w:val="00AC7B8B"/>
    <w:rsid w:val="00AD09C3"/>
    <w:rsid w:val="00AD1C6A"/>
    <w:rsid w:val="00AD1CE4"/>
    <w:rsid w:val="00AD3049"/>
    <w:rsid w:val="00AD408E"/>
    <w:rsid w:val="00AD47FA"/>
    <w:rsid w:val="00AD58F6"/>
    <w:rsid w:val="00AD5AAA"/>
    <w:rsid w:val="00AD5DD3"/>
    <w:rsid w:val="00AD7761"/>
    <w:rsid w:val="00AD789E"/>
    <w:rsid w:val="00AE0754"/>
    <w:rsid w:val="00AE0FF1"/>
    <w:rsid w:val="00AE18B6"/>
    <w:rsid w:val="00AE18E0"/>
    <w:rsid w:val="00AE5082"/>
    <w:rsid w:val="00AE520F"/>
    <w:rsid w:val="00AE5EE8"/>
    <w:rsid w:val="00AF0101"/>
    <w:rsid w:val="00AF0899"/>
    <w:rsid w:val="00AF40CF"/>
    <w:rsid w:val="00B00310"/>
    <w:rsid w:val="00B00343"/>
    <w:rsid w:val="00B06170"/>
    <w:rsid w:val="00B07A8F"/>
    <w:rsid w:val="00B11B5A"/>
    <w:rsid w:val="00B13E94"/>
    <w:rsid w:val="00B150C4"/>
    <w:rsid w:val="00B1606A"/>
    <w:rsid w:val="00B16B58"/>
    <w:rsid w:val="00B16D34"/>
    <w:rsid w:val="00B16FB2"/>
    <w:rsid w:val="00B20E8D"/>
    <w:rsid w:val="00B21A53"/>
    <w:rsid w:val="00B22591"/>
    <w:rsid w:val="00B233F0"/>
    <w:rsid w:val="00B25943"/>
    <w:rsid w:val="00B26543"/>
    <w:rsid w:val="00B27638"/>
    <w:rsid w:val="00B31EBB"/>
    <w:rsid w:val="00B3210E"/>
    <w:rsid w:val="00B32C74"/>
    <w:rsid w:val="00B32EF8"/>
    <w:rsid w:val="00B34683"/>
    <w:rsid w:val="00B34C66"/>
    <w:rsid w:val="00B34D2E"/>
    <w:rsid w:val="00B357B1"/>
    <w:rsid w:val="00B40CF6"/>
    <w:rsid w:val="00B4100D"/>
    <w:rsid w:val="00B41F12"/>
    <w:rsid w:val="00B430F2"/>
    <w:rsid w:val="00B44CE0"/>
    <w:rsid w:val="00B451EB"/>
    <w:rsid w:val="00B47E79"/>
    <w:rsid w:val="00B50F3F"/>
    <w:rsid w:val="00B521FD"/>
    <w:rsid w:val="00B53198"/>
    <w:rsid w:val="00B535FD"/>
    <w:rsid w:val="00B55181"/>
    <w:rsid w:val="00B564A2"/>
    <w:rsid w:val="00B567D0"/>
    <w:rsid w:val="00B578FF"/>
    <w:rsid w:val="00B61422"/>
    <w:rsid w:val="00B62072"/>
    <w:rsid w:val="00B626D8"/>
    <w:rsid w:val="00B655C7"/>
    <w:rsid w:val="00B66506"/>
    <w:rsid w:val="00B66E80"/>
    <w:rsid w:val="00B67496"/>
    <w:rsid w:val="00B67EE8"/>
    <w:rsid w:val="00B71C05"/>
    <w:rsid w:val="00B7335C"/>
    <w:rsid w:val="00B7405B"/>
    <w:rsid w:val="00B74687"/>
    <w:rsid w:val="00B74D69"/>
    <w:rsid w:val="00B755E1"/>
    <w:rsid w:val="00B758FA"/>
    <w:rsid w:val="00B76207"/>
    <w:rsid w:val="00B76B78"/>
    <w:rsid w:val="00B775B8"/>
    <w:rsid w:val="00B80401"/>
    <w:rsid w:val="00B80FB2"/>
    <w:rsid w:val="00B81188"/>
    <w:rsid w:val="00B8156F"/>
    <w:rsid w:val="00B8174F"/>
    <w:rsid w:val="00B8219C"/>
    <w:rsid w:val="00B834C3"/>
    <w:rsid w:val="00B83754"/>
    <w:rsid w:val="00B8759F"/>
    <w:rsid w:val="00B87CC8"/>
    <w:rsid w:val="00B90FBD"/>
    <w:rsid w:val="00B9185B"/>
    <w:rsid w:val="00B91F1C"/>
    <w:rsid w:val="00B922AB"/>
    <w:rsid w:val="00B92C87"/>
    <w:rsid w:val="00B92E76"/>
    <w:rsid w:val="00B93100"/>
    <w:rsid w:val="00B9643D"/>
    <w:rsid w:val="00B977AF"/>
    <w:rsid w:val="00BA0093"/>
    <w:rsid w:val="00BA0203"/>
    <w:rsid w:val="00BA0803"/>
    <w:rsid w:val="00BA1DDB"/>
    <w:rsid w:val="00BA39A0"/>
    <w:rsid w:val="00BA521E"/>
    <w:rsid w:val="00BA6502"/>
    <w:rsid w:val="00BB0093"/>
    <w:rsid w:val="00BB0CE2"/>
    <w:rsid w:val="00BB128D"/>
    <w:rsid w:val="00BB277C"/>
    <w:rsid w:val="00BC1F3E"/>
    <w:rsid w:val="00BC4C91"/>
    <w:rsid w:val="00BC6FE2"/>
    <w:rsid w:val="00BD00E3"/>
    <w:rsid w:val="00BD0C4D"/>
    <w:rsid w:val="00BD1285"/>
    <w:rsid w:val="00BD41E7"/>
    <w:rsid w:val="00BD42DD"/>
    <w:rsid w:val="00BD4989"/>
    <w:rsid w:val="00BD5219"/>
    <w:rsid w:val="00BD6403"/>
    <w:rsid w:val="00BD670F"/>
    <w:rsid w:val="00BE089B"/>
    <w:rsid w:val="00BE0BA5"/>
    <w:rsid w:val="00BE1F89"/>
    <w:rsid w:val="00BE20D1"/>
    <w:rsid w:val="00BE3C69"/>
    <w:rsid w:val="00BE4A6B"/>
    <w:rsid w:val="00BE5427"/>
    <w:rsid w:val="00BE67B3"/>
    <w:rsid w:val="00BE6B3F"/>
    <w:rsid w:val="00BE75F0"/>
    <w:rsid w:val="00BE7D5D"/>
    <w:rsid w:val="00BF34BC"/>
    <w:rsid w:val="00BF3E3C"/>
    <w:rsid w:val="00BF42A6"/>
    <w:rsid w:val="00BF5EF1"/>
    <w:rsid w:val="00BF763A"/>
    <w:rsid w:val="00BF7D4A"/>
    <w:rsid w:val="00C01020"/>
    <w:rsid w:val="00C01D5D"/>
    <w:rsid w:val="00C01FFB"/>
    <w:rsid w:val="00C022F7"/>
    <w:rsid w:val="00C0326F"/>
    <w:rsid w:val="00C04251"/>
    <w:rsid w:val="00C04902"/>
    <w:rsid w:val="00C05193"/>
    <w:rsid w:val="00C05CF5"/>
    <w:rsid w:val="00C0689E"/>
    <w:rsid w:val="00C0737B"/>
    <w:rsid w:val="00C121B8"/>
    <w:rsid w:val="00C12DA4"/>
    <w:rsid w:val="00C140D2"/>
    <w:rsid w:val="00C14336"/>
    <w:rsid w:val="00C14B14"/>
    <w:rsid w:val="00C172F9"/>
    <w:rsid w:val="00C215F3"/>
    <w:rsid w:val="00C218BC"/>
    <w:rsid w:val="00C222D8"/>
    <w:rsid w:val="00C22CB4"/>
    <w:rsid w:val="00C23235"/>
    <w:rsid w:val="00C24BFD"/>
    <w:rsid w:val="00C26D0F"/>
    <w:rsid w:val="00C27242"/>
    <w:rsid w:val="00C27375"/>
    <w:rsid w:val="00C27B4F"/>
    <w:rsid w:val="00C27E95"/>
    <w:rsid w:val="00C27EC9"/>
    <w:rsid w:val="00C30BD9"/>
    <w:rsid w:val="00C32259"/>
    <w:rsid w:val="00C33641"/>
    <w:rsid w:val="00C33F50"/>
    <w:rsid w:val="00C34415"/>
    <w:rsid w:val="00C3465D"/>
    <w:rsid w:val="00C35E88"/>
    <w:rsid w:val="00C35F4A"/>
    <w:rsid w:val="00C37059"/>
    <w:rsid w:val="00C37844"/>
    <w:rsid w:val="00C40A2B"/>
    <w:rsid w:val="00C41861"/>
    <w:rsid w:val="00C42E18"/>
    <w:rsid w:val="00C43E4C"/>
    <w:rsid w:val="00C461EA"/>
    <w:rsid w:val="00C4689C"/>
    <w:rsid w:val="00C47C4D"/>
    <w:rsid w:val="00C5256C"/>
    <w:rsid w:val="00C52DC1"/>
    <w:rsid w:val="00C55D7C"/>
    <w:rsid w:val="00C562BA"/>
    <w:rsid w:val="00C57A01"/>
    <w:rsid w:val="00C57E49"/>
    <w:rsid w:val="00C613A5"/>
    <w:rsid w:val="00C6149B"/>
    <w:rsid w:val="00C6188C"/>
    <w:rsid w:val="00C61BBE"/>
    <w:rsid w:val="00C625C6"/>
    <w:rsid w:val="00C62697"/>
    <w:rsid w:val="00C62D82"/>
    <w:rsid w:val="00C62EEA"/>
    <w:rsid w:val="00C62EF1"/>
    <w:rsid w:val="00C63AF7"/>
    <w:rsid w:val="00C645DA"/>
    <w:rsid w:val="00C65C22"/>
    <w:rsid w:val="00C67671"/>
    <w:rsid w:val="00C7151F"/>
    <w:rsid w:val="00C73226"/>
    <w:rsid w:val="00C7424D"/>
    <w:rsid w:val="00C75319"/>
    <w:rsid w:val="00C75C54"/>
    <w:rsid w:val="00C75EBB"/>
    <w:rsid w:val="00C761D2"/>
    <w:rsid w:val="00C76298"/>
    <w:rsid w:val="00C76386"/>
    <w:rsid w:val="00C77844"/>
    <w:rsid w:val="00C80FCA"/>
    <w:rsid w:val="00C8408D"/>
    <w:rsid w:val="00C84922"/>
    <w:rsid w:val="00C84A5D"/>
    <w:rsid w:val="00C87DAC"/>
    <w:rsid w:val="00C87E81"/>
    <w:rsid w:val="00C90C34"/>
    <w:rsid w:val="00C90D7B"/>
    <w:rsid w:val="00C9344A"/>
    <w:rsid w:val="00C94849"/>
    <w:rsid w:val="00C953D6"/>
    <w:rsid w:val="00C95545"/>
    <w:rsid w:val="00C962CF"/>
    <w:rsid w:val="00C968DC"/>
    <w:rsid w:val="00C96A69"/>
    <w:rsid w:val="00C97668"/>
    <w:rsid w:val="00C97FCB"/>
    <w:rsid w:val="00CA10C3"/>
    <w:rsid w:val="00CA1B15"/>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C08AC"/>
    <w:rsid w:val="00CC09F8"/>
    <w:rsid w:val="00CC18AF"/>
    <w:rsid w:val="00CC1D4B"/>
    <w:rsid w:val="00CC26DE"/>
    <w:rsid w:val="00CC3F27"/>
    <w:rsid w:val="00CC522F"/>
    <w:rsid w:val="00CC5925"/>
    <w:rsid w:val="00CC5B8D"/>
    <w:rsid w:val="00CC5F46"/>
    <w:rsid w:val="00CC788F"/>
    <w:rsid w:val="00CC7EBA"/>
    <w:rsid w:val="00CD0334"/>
    <w:rsid w:val="00CD0AA2"/>
    <w:rsid w:val="00CD1F13"/>
    <w:rsid w:val="00CD3529"/>
    <w:rsid w:val="00CD3622"/>
    <w:rsid w:val="00CD4A48"/>
    <w:rsid w:val="00CD6254"/>
    <w:rsid w:val="00CD6F58"/>
    <w:rsid w:val="00CD7629"/>
    <w:rsid w:val="00CD79F2"/>
    <w:rsid w:val="00CE0AC4"/>
    <w:rsid w:val="00CE1266"/>
    <w:rsid w:val="00CE4554"/>
    <w:rsid w:val="00CE4A6D"/>
    <w:rsid w:val="00CE4D0B"/>
    <w:rsid w:val="00CF0477"/>
    <w:rsid w:val="00CF0A51"/>
    <w:rsid w:val="00CF0CC4"/>
    <w:rsid w:val="00CF1180"/>
    <w:rsid w:val="00CF153A"/>
    <w:rsid w:val="00CF19B7"/>
    <w:rsid w:val="00CF23AA"/>
    <w:rsid w:val="00CF4892"/>
    <w:rsid w:val="00CF779F"/>
    <w:rsid w:val="00D00B1F"/>
    <w:rsid w:val="00D011B7"/>
    <w:rsid w:val="00D0212A"/>
    <w:rsid w:val="00D025B0"/>
    <w:rsid w:val="00D02D4A"/>
    <w:rsid w:val="00D03D37"/>
    <w:rsid w:val="00D05848"/>
    <w:rsid w:val="00D064E5"/>
    <w:rsid w:val="00D105DC"/>
    <w:rsid w:val="00D1149E"/>
    <w:rsid w:val="00D11A88"/>
    <w:rsid w:val="00D12BD5"/>
    <w:rsid w:val="00D139C5"/>
    <w:rsid w:val="00D13D03"/>
    <w:rsid w:val="00D14A82"/>
    <w:rsid w:val="00D15774"/>
    <w:rsid w:val="00D1578B"/>
    <w:rsid w:val="00D168E2"/>
    <w:rsid w:val="00D20CD1"/>
    <w:rsid w:val="00D22369"/>
    <w:rsid w:val="00D23A8F"/>
    <w:rsid w:val="00D23DD2"/>
    <w:rsid w:val="00D245D4"/>
    <w:rsid w:val="00D2600D"/>
    <w:rsid w:val="00D26114"/>
    <w:rsid w:val="00D26360"/>
    <w:rsid w:val="00D26EF8"/>
    <w:rsid w:val="00D2724D"/>
    <w:rsid w:val="00D27EE5"/>
    <w:rsid w:val="00D30E92"/>
    <w:rsid w:val="00D31002"/>
    <w:rsid w:val="00D31B0F"/>
    <w:rsid w:val="00D31F46"/>
    <w:rsid w:val="00D3223B"/>
    <w:rsid w:val="00D32D18"/>
    <w:rsid w:val="00D330F9"/>
    <w:rsid w:val="00D33CFF"/>
    <w:rsid w:val="00D369E7"/>
    <w:rsid w:val="00D42522"/>
    <w:rsid w:val="00D44E7C"/>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7E8"/>
    <w:rsid w:val="00D71630"/>
    <w:rsid w:val="00D71AD4"/>
    <w:rsid w:val="00D72ACC"/>
    <w:rsid w:val="00D73181"/>
    <w:rsid w:val="00D7356A"/>
    <w:rsid w:val="00D742A8"/>
    <w:rsid w:val="00D767A4"/>
    <w:rsid w:val="00D771BA"/>
    <w:rsid w:val="00D7723E"/>
    <w:rsid w:val="00D80EE6"/>
    <w:rsid w:val="00D8390D"/>
    <w:rsid w:val="00D83BC7"/>
    <w:rsid w:val="00D8457B"/>
    <w:rsid w:val="00D8749D"/>
    <w:rsid w:val="00D87644"/>
    <w:rsid w:val="00D90AF2"/>
    <w:rsid w:val="00D90C44"/>
    <w:rsid w:val="00D91128"/>
    <w:rsid w:val="00D93C24"/>
    <w:rsid w:val="00D94142"/>
    <w:rsid w:val="00D94566"/>
    <w:rsid w:val="00D96D95"/>
    <w:rsid w:val="00D977A8"/>
    <w:rsid w:val="00DA243F"/>
    <w:rsid w:val="00DA35C6"/>
    <w:rsid w:val="00DA48BC"/>
    <w:rsid w:val="00DA4F44"/>
    <w:rsid w:val="00DA605C"/>
    <w:rsid w:val="00DB0ABA"/>
    <w:rsid w:val="00DB0D1E"/>
    <w:rsid w:val="00DB29B7"/>
    <w:rsid w:val="00DB42BE"/>
    <w:rsid w:val="00DB498E"/>
    <w:rsid w:val="00DB557F"/>
    <w:rsid w:val="00DB6A60"/>
    <w:rsid w:val="00DB775C"/>
    <w:rsid w:val="00DC120C"/>
    <w:rsid w:val="00DC2AF5"/>
    <w:rsid w:val="00DC57F5"/>
    <w:rsid w:val="00DC637D"/>
    <w:rsid w:val="00DC7732"/>
    <w:rsid w:val="00DC77F9"/>
    <w:rsid w:val="00DC7B32"/>
    <w:rsid w:val="00DD0815"/>
    <w:rsid w:val="00DD12CE"/>
    <w:rsid w:val="00DD1BAD"/>
    <w:rsid w:val="00DD2035"/>
    <w:rsid w:val="00DD31E6"/>
    <w:rsid w:val="00DD47AE"/>
    <w:rsid w:val="00DD56C6"/>
    <w:rsid w:val="00DD58BD"/>
    <w:rsid w:val="00DD5F5F"/>
    <w:rsid w:val="00DD6828"/>
    <w:rsid w:val="00DE043C"/>
    <w:rsid w:val="00DE0CE6"/>
    <w:rsid w:val="00DE128C"/>
    <w:rsid w:val="00DE19E8"/>
    <w:rsid w:val="00DE40B3"/>
    <w:rsid w:val="00DE4547"/>
    <w:rsid w:val="00DE4585"/>
    <w:rsid w:val="00DE6869"/>
    <w:rsid w:val="00DE72DE"/>
    <w:rsid w:val="00DF1163"/>
    <w:rsid w:val="00DF48BF"/>
    <w:rsid w:val="00DF698C"/>
    <w:rsid w:val="00DF776E"/>
    <w:rsid w:val="00DF797B"/>
    <w:rsid w:val="00E01104"/>
    <w:rsid w:val="00E02D51"/>
    <w:rsid w:val="00E02EF5"/>
    <w:rsid w:val="00E03580"/>
    <w:rsid w:val="00E054A0"/>
    <w:rsid w:val="00E10336"/>
    <w:rsid w:val="00E10918"/>
    <w:rsid w:val="00E117B4"/>
    <w:rsid w:val="00E13317"/>
    <w:rsid w:val="00E13E36"/>
    <w:rsid w:val="00E1432C"/>
    <w:rsid w:val="00E148A2"/>
    <w:rsid w:val="00E155FB"/>
    <w:rsid w:val="00E2002B"/>
    <w:rsid w:val="00E20E2E"/>
    <w:rsid w:val="00E213DE"/>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643C"/>
    <w:rsid w:val="00E472FF"/>
    <w:rsid w:val="00E50416"/>
    <w:rsid w:val="00E50D6D"/>
    <w:rsid w:val="00E52AC1"/>
    <w:rsid w:val="00E546C9"/>
    <w:rsid w:val="00E54EEF"/>
    <w:rsid w:val="00E55D13"/>
    <w:rsid w:val="00E55E3E"/>
    <w:rsid w:val="00E56771"/>
    <w:rsid w:val="00E56849"/>
    <w:rsid w:val="00E57E1F"/>
    <w:rsid w:val="00E60310"/>
    <w:rsid w:val="00E6096A"/>
    <w:rsid w:val="00E610AC"/>
    <w:rsid w:val="00E62E74"/>
    <w:rsid w:val="00E630EF"/>
    <w:rsid w:val="00E636DC"/>
    <w:rsid w:val="00E6517F"/>
    <w:rsid w:val="00E65D14"/>
    <w:rsid w:val="00E70549"/>
    <w:rsid w:val="00E70D4F"/>
    <w:rsid w:val="00E70F3B"/>
    <w:rsid w:val="00E718ED"/>
    <w:rsid w:val="00E71AE7"/>
    <w:rsid w:val="00E7326A"/>
    <w:rsid w:val="00E76987"/>
    <w:rsid w:val="00E817F6"/>
    <w:rsid w:val="00E81FD0"/>
    <w:rsid w:val="00E83910"/>
    <w:rsid w:val="00E83CA6"/>
    <w:rsid w:val="00E83DF2"/>
    <w:rsid w:val="00E8445E"/>
    <w:rsid w:val="00E847CC"/>
    <w:rsid w:val="00E85F5C"/>
    <w:rsid w:val="00E86D83"/>
    <w:rsid w:val="00E86EE9"/>
    <w:rsid w:val="00E86FA7"/>
    <w:rsid w:val="00E907D8"/>
    <w:rsid w:val="00E929F9"/>
    <w:rsid w:val="00E96D22"/>
    <w:rsid w:val="00E96D23"/>
    <w:rsid w:val="00E97038"/>
    <w:rsid w:val="00E973A1"/>
    <w:rsid w:val="00E97902"/>
    <w:rsid w:val="00EA0432"/>
    <w:rsid w:val="00EA1621"/>
    <w:rsid w:val="00EA18BC"/>
    <w:rsid w:val="00EA216A"/>
    <w:rsid w:val="00EA237E"/>
    <w:rsid w:val="00EA2675"/>
    <w:rsid w:val="00EA3697"/>
    <w:rsid w:val="00EA3992"/>
    <w:rsid w:val="00EA3AEF"/>
    <w:rsid w:val="00EA4097"/>
    <w:rsid w:val="00EA4172"/>
    <w:rsid w:val="00EA478D"/>
    <w:rsid w:val="00EA4E07"/>
    <w:rsid w:val="00EA5CC3"/>
    <w:rsid w:val="00EA64AD"/>
    <w:rsid w:val="00EA6E69"/>
    <w:rsid w:val="00EB00D7"/>
    <w:rsid w:val="00EB1BD2"/>
    <w:rsid w:val="00EB35D8"/>
    <w:rsid w:val="00EB3C2D"/>
    <w:rsid w:val="00EB451A"/>
    <w:rsid w:val="00EB458A"/>
    <w:rsid w:val="00EB7D72"/>
    <w:rsid w:val="00EC0A79"/>
    <w:rsid w:val="00EC0BF6"/>
    <w:rsid w:val="00EC14F1"/>
    <w:rsid w:val="00EC2052"/>
    <w:rsid w:val="00EC216A"/>
    <w:rsid w:val="00EC24EC"/>
    <w:rsid w:val="00EC35F9"/>
    <w:rsid w:val="00EC422D"/>
    <w:rsid w:val="00EC49EC"/>
    <w:rsid w:val="00EC502E"/>
    <w:rsid w:val="00EC5BE0"/>
    <w:rsid w:val="00EC5D2F"/>
    <w:rsid w:val="00ED0299"/>
    <w:rsid w:val="00ED031C"/>
    <w:rsid w:val="00ED0616"/>
    <w:rsid w:val="00ED078A"/>
    <w:rsid w:val="00ED0EBC"/>
    <w:rsid w:val="00ED12D8"/>
    <w:rsid w:val="00ED12E1"/>
    <w:rsid w:val="00ED3440"/>
    <w:rsid w:val="00ED52BF"/>
    <w:rsid w:val="00ED5A90"/>
    <w:rsid w:val="00ED6DFC"/>
    <w:rsid w:val="00ED7E23"/>
    <w:rsid w:val="00ED7F1F"/>
    <w:rsid w:val="00EE007E"/>
    <w:rsid w:val="00EE0AD3"/>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5697"/>
    <w:rsid w:val="00F0785F"/>
    <w:rsid w:val="00F121D1"/>
    <w:rsid w:val="00F12670"/>
    <w:rsid w:val="00F129A5"/>
    <w:rsid w:val="00F1315B"/>
    <w:rsid w:val="00F132E1"/>
    <w:rsid w:val="00F15C7A"/>
    <w:rsid w:val="00F15F8E"/>
    <w:rsid w:val="00F16166"/>
    <w:rsid w:val="00F16E46"/>
    <w:rsid w:val="00F1778B"/>
    <w:rsid w:val="00F20BEC"/>
    <w:rsid w:val="00F21593"/>
    <w:rsid w:val="00F22009"/>
    <w:rsid w:val="00F22436"/>
    <w:rsid w:val="00F235B2"/>
    <w:rsid w:val="00F23B89"/>
    <w:rsid w:val="00F24190"/>
    <w:rsid w:val="00F250DE"/>
    <w:rsid w:val="00F25A5C"/>
    <w:rsid w:val="00F25D11"/>
    <w:rsid w:val="00F274C9"/>
    <w:rsid w:val="00F31C1A"/>
    <w:rsid w:val="00F32317"/>
    <w:rsid w:val="00F32631"/>
    <w:rsid w:val="00F32AFC"/>
    <w:rsid w:val="00F33788"/>
    <w:rsid w:val="00F34753"/>
    <w:rsid w:val="00F3769A"/>
    <w:rsid w:val="00F40012"/>
    <w:rsid w:val="00F401FF"/>
    <w:rsid w:val="00F4020A"/>
    <w:rsid w:val="00F413CA"/>
    <w:rsid w:val="00F4390F"/>
    <w:rsid w:val="00F43A3B"/>
    <w:rsid w:val="00F44748"/>
    <w:rsid w:val="00F44999"/>
    <w:rsid w:val="00F45552"/>
    <w:rsid w:val="00F4755F"/>
    <w:rsid w:val="00F5107E"/>
    <w:rsid w:val="00F51C63"/>
    <w:rsid w:val="00F52EA6"/>
    <w:rsid w:val="00F531E9"/>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B61"/>
    <w:rsid w:val="00F722FC"/>
    <w:rsid w:val="00F73333"/>
    <w:rsid w:val="00F73E52"/>
    <w:rsid w:val="00F7593D"/>
    <w:rsid w:val="00F75EFC"/>
    <w:rsid w:val="00F7604E"/>
    <w:rsid w:val="00F76AF0"/>
    <w:rsid w:val="00F774FA"/>
    <w:rsid w:val="00F80215"/>
    <w:rsid w:val="00F82A3E"/>
    <w:rsid w:val="00F83A53"/>
    <w:rsid w:val="00F848B2"/>
    <w:rsid w:val="00F84ED9"/>
    <w:rsid w:val="00F85477"/>
    <w:rsid w:val="00F86B81"/>
    <w:rsid w:val="00F8729D"/>
    <w:rsid w:val="00F87564"/>
    <w:rsid w:val="00F87D58"/>
    <w:rsid w:val="00F90118"/>
    <w:rsid w:val="00F91BC3"/>
    <w:rsid w:val="00F92680"/>
    <w:rsid w:val="00F93F03"/>
    <w:rsid w:val="00F94645"/>
    <w:rsid w:val="00F969E6"/>
    <w:rsid w:val="00F96A34"/>
    <w:rsid w:val="00F9798D"/>
    <w:rsid w:val="00FA01FD"/>
    <w:rsid w:val="00FA0987"/>
    <w:rsid w:val="00FA18DD"/>
    <w:rsid w:val="00FA458F"/>
    <w:rsid w:val="00FA560B"/>
    <w:rsid w:val="00FA6522"/>
    <w:rsid w:val="00FA7BF7"/>
    <w:rsid w:val="00FB16F7"/>
    <w:rsid w:val="00FB1C56"/>
    <w:rsid w:val="00FB4313"/>
    <w:rsid w:val="00FB452B"/>
    <w:rsid w:val="00FB4A68"/>
    <w:rsid w:val="00FB58E0"/>
    <w:rsid w:val="00FB5C3E"/>
    <w:rsid w:val="00FB76DD"/>
    <w:rsid w:val="00FC0115"/>
    <w:rsid w:val="00FC0A1C"/>
    <w:rsid w:val="00FC11B8"/>
    <w:rsid w:val="00FC200A"/>
    <w:rsid w:val="00FC6877"/>
    <w:rsid w:val="00FC74BE"/>
    <w:rsid w:val="00FD08AF"/>
    <w:rsid w:val="00FD225D"/>
    <w:rsid w:val="00FD3B09"/>
    <w:rsid w:val="00FD3C79"/>
    <w:rsid w:val="00FD47DB"/>
    <w:rsid w:val="00FD6B1C"/>
    <w:rsid w:val="00FD76B3"/>
    <w:rsid w:val="00FE1EA3"/>
    <w:rsid w:val="00FE41E1"/>
    <w:rsid w:val="00FE5D19"/>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65-022-03218-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07/s00265-022-03224-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18</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2127</cp:revision>
  <cp:lastPrinted>2020-12-09T16:31:00Z</cp:lastPrinted>
  <dcterms:created xsi:type="dcterms:W3CDTF">2023-03-23T14:37:00Z</dcterms:created>
  <dcterms:modified xsi:type="dcterms:W3CDTF">2023-03-29T23:43:00Z</dcterms:modified>
</cp:coreProperties>
</file>