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879A7" w14:textId="17F44D80" w:rsidR="00703235" w:rsidRDefault="00703235">
      <w:r w:rsidRPr="00703235">
        <w:t>However, wide variation highlighted the differences between these metrics. For example, the most compressible display string (AUDI ID-1487, compression ratio = 7.45) had intermediate entropy (0.63) but was long, with 365 total elements, and primarily made up of long stretches of Side-to-side bows and Neck twists. A display with similar entropy but much lower compression ratio (AUDI ID-453, scaled entropy = 0.64, compression ratio = 2.53) was shorter, with 81 elements, and featured a tail of individual behaviors (coded “IEDBA”; Table 1) that made it difficult to compress. Indeed,</w:t>
      </w:r>
    </w:p>
    <w:sectPr w:rsidR="00703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AA"/>
    <w:rsid w:val="00085EBE"/>
    <w:rsid w:val="00560B0C"/>
    <w:rsid w:val="00703235"/>
    <w:rsid w:val="007129AA"/>
    <w:rsid w:val="008F642A"/>
    <w:rsid w:val="00D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27DD"/>
  <w15:chartTrackingRefBased/>
  <w15:docId w15:val="{F79F2961-477E-410B-9F53-F1507779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B0C"/>
    <w:pPr>
      <w:spacing w:after="0" w:line="276" w:lineRule="auto"/>
    </w:pPr>
    <w:rPr>
      <w:rFonts w:ascii="Times New Roman" w:hAnsi="Times New Roman" w:cs="Arial"/>
      <w:kern w:val="0"/>
      <w:sz w:val="24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Taylor</dc:creator>
  <cp:keywords/>
  <dc:description/>
  <cp:lastModifiedBy>Liam Taylor</cp:lastModifiedBy>
  <cp:revision>2</cp:revision>
  <dcterms:created xsi:type="dcterms:W3CDTF">2023-11-12T04:32:00Z</dcterms:created>
  <dcterms:modified xsi:type="dcterms:W3CDTF">2023-11-13T00:39:00Z</dcterms:modified>
</cp:coreProperties>
</file>