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bookmarkStart w:colFirst="0" w:colLast="0" w:name="_2arnbk3nvhds" w:id="0"/>
      <w:bookmarkEnd w:id="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Notas de formato geral (template SBC)</w:t>
      </w:r>
    </w:p>
    <w:p w:rsidR="00000000" w:rsidDel="00000000" w:rsidP="00000000" w:rsidRDefault="00000000" w:rsidRPr="00000000" w14:paraId="0000000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Escrever título, autores com afiliação e e-mails conforme o modelo da primeira página.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Como o artigo será em português, escrever o Resumo e também o Abstract em inglês, ambos na primeira página e com no máximo 10 linhas cada.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Verificar o limite de páginas definido pelas normas do TCC.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Manter figuras e tabelas dentro das convenções do template: legenda de tabela acima da tabela, legenda de figura abaixo, fonte Helvetica 10 em negrito, sem fundos coloridos ou bordas espessas. Ao levar a tabela LORI do documento de trabalho para o artigo, remover o sombreamento e o cabeçalho colorido.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Nas tabelas com números, usar duas casas decimais para as médias LORI (3,56; 4,14; 4,00).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Verificar se as normas do curso exigem declaração formal de uso de IA, visto que a Discussão relatará o exercício dos metadados gerados com assistência de IA. Caso exista formato próprio (nota, seção ou apêndice), seguir esse formato.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bookmarkStart w:colFirst="0" w:colLast="0" w:name="_sinayew4s12v" w:id="1"/>
      <w:bookmarkEnd w:id="1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Introdução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Antes de tudo, contextualizar a dificuldade bem documentada do ensino introdutório de programação, citando as altas taxas de reprovação e evasão nas disciplinas iniciais, bem como o papel de recursos práticos de consolidação. Em seguida, apresentar os jogos como veículo motivacional para iniciantes.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Definir brevemente o conceito de objeto de aprendizagem [Wiley 2000], destacando a promessa de reusabilidade e compartilhamento que justifica a escolha desse formato em vez de material avulso [Boyle 2002].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[Fio da lacuna, aparição 1]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Na sequência, apresentar a lacuna: a literatura trata amplamente de OAs multimídia e simulações, porém oferece pouco tratamento ao código-fonte didaticamente documentado como OA e, principalmente, aos conjuntos agregados (código somado a vídeos em playlist) avaliados com instrumentos como a LORI [Nesbit et al. 2003, Vargo et al. 2003]. Mencionar que a aprendizagem baseada em exemplos dá respaldo recente ao uso de código exemplar como material instrucional [Bonetti et al. 2025]. Formular a lacuna como pergunta explícita, por exemplo: o que muda quando a unidade avaliada deixa de ser um recurso único e passa a ser um agregado? Essa pergunta será respondida empiricamente nos Resultados.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Enunciar o objetivo do trabalho: projetar, construir e avaliar um OA para consolidação de conceitos introdutórios de Python, materializado em um agregado de três componentes, a saber, o código 2048 em Pygame densamente documentado, a versão limpa do mesmo código e uma série de quatro vídeos explicativos.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Enunciar explicitamente as contribuições: em primeiro lugar, o artefato em si, com sua etiquetagem por unidade, organização progressiva do arquivo e abordagem de caixa-preta; em segundo lugar, a avaliação em duas rodadas via LORI v1.5 [Nesbit et al. 2003], comparando o código isolado e o agregado; por último, o achado metodológico de que a escolha da unidade de análise altera não apenas as pontuações, mas o próprio conjunto de itens aplicáveis do instrumento.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Para terminar, escrever o parágrafo-mapa apresentando a organização das seções.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bookmarkStart w:colFirst="0" w:colLast="0" w:name="_4o3xzo7monna" w:id="2"/>
      <w:bookmarkEnd w:id="2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Materiais e Métodos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Descrever primeiramente a seleção e análise da literatura: a metodologia de ranqueamento por CPY (citações por ano), as bases consultadas (OpenAlex e Semantic Scholar), o critério de estruturação em camadas e a exclusão de clássicos fora do recorte. Listar o conjunto final analisado e o protocolo de leitura estruturada (Contexto, Problema, Solução, Avaliação, Resultados, Aplicação).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Apresentar em seguida a concepção do objeto: o público-alvo (alunos que já concluíram as três unidades de um curso introdutório) e o propósito de consolidação dos conteúdos previamente estudados.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Documentar a evolução da estratégia de estruturação, visto que esse redirecionamento merece destaque. Relatar que a concepção inicial previa três versões progressivas do código e que abandonei essa abordagem durante o desenvolvimento em virtude de uma restrição técnica: as dependências mínimas para o programa funcionar faziam a versão intermediária convergir para algo quase idêntico à versão final, esvaziando o propósito da separação. Registrar a estratégia adotada em seu lugar, a saber, a organização progressiva de um arquivo único, na qual a Unidade I concentra as variáveis e constantes do início do arquivo, a Unidade II reúne as funções construídas sobre estruturas de controle e de dados e a Unidade III agrupa tudo que envolve Pygame e a biblioteca random.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Completar com as demais decisões de design: a escolha do 2048 em razão das regras simples e do algoritmo central rico; a etiquetagem linha a linha (U1/U2/U3); a abordagem híbrida de caixa-preta; e, sobretudo, o convite explícito à modificação como affordance central. Justificar com apoio nos princípios de design reusável [Boyle 2002] e na discussão de granularidade [Wiley 2000].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[Fio da lacuna, aparição 2]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Formalizar que o objeto é deliberadamente um agregado de três componentes com papéis complementares. Por um lado, a versão densamente comentada serve como material de estudo autônomo; por outro, a versão limpa serve de suporte visual aos vídeos, escolhida para preservar a clareza da tela durante a explicação narrada, dado que a narração cumpre nos vídeos o papel que os comentários cumprem na leitura e sobrepor os dois canais geraria redundância prejudicial ao processamento. Registrar que é exatamente essa natureza agregada que operacionaliza a lacuna da introdução, uma vez que o procedimento de avaliação precisará decidir o que conta como unidade avaliável [Nesbit et al. 2003, Vargo et al. 2003, Nesbit et al. 2002].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Descrever a produção dos vídeos: a estrutura em 4 vídeos, na qual o primeiro cobre a introdução, os objetivos, as dependências necessárias (Python e Pygame) e a demonstração do programa em funcionamento, enquanto os três seguintes cobrem uma unidade cada, na progressão U1, U2 e U3, espelhando a organização do arquivo. Registrar que o conteúdo dos vídeos é similar ao dos comentários do código e um pouco mais detalhado, o que cria redundância intencional entre canais de acesso ao mesmo conteúdo. Onde a ordem do arquivo antecipa elementos de outras unidades, a convenção de caixa-preta faz a ponte e o vídeo da unidade correspondente fecha a caixa.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Descrever o procedimento de avaliação em duas rodadas: a LORI v1.5, sua origem, os nove itens, a escala e a opção NA [Nesbit et al. 2003], com apoio na investigação de confiabilidade [Vargo et al. 2003] e nos fundamentos teóricos do instrumento [Leacock e Nesbit 2007]. Declarar que se trata de autoavaliação individual, em vez do painel convergente recomendado pelos autores [Nesbit et al. 2002]. Definir as duas rodadas: a primeira avalia o código documentado isoladamente; a segunda avalia o agregado completo.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Registrar as regras interpretativas adotadas, com uma regra nova em relação ao desenho original: considerar em cada rodada a respectiva unidade de análise, e não o arranjo instrucional ao redor; estender a leitura de "input diferencial" à edição de código; na primeira rodada, pontuar os itens 7 e 9 com ressalva sobre a defensabilidade do NA; na segunda rodada, marcar o item 9 como NA por delimitação de escopo, dado que o objeto não se destina a repositórios ou agregadores de OA, de modo que padrões de empacotamento e descoberta estão fora do seu propósito. Salientar que declarar essas regras constitui diferencial metodológico, pois interpretações que favorecem o objeto precisam ser explícitas para serem escrutináveis.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bookmarkStart w:colFirst="0" w:colLast="0" w:name="_8bqmh255hfui" w:id="3"/>
      <w:bookmarkEnd w:id="3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Resultados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Separar os resultados da interpretação, reservando a interpretação para a Discussão.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Descrever o objeto produzido: dimensões (linhas e funções), organização progressiva em três blocos, os três componentes do agregado com seus papéis, capturas de tela do jogo e trechos representativos da documentação. Descrever igualmente a série de 4 vídeos, com escopo e duração de cada um. Nota de formato: capturas como figuras com legenda abaixo; trechos de código como figura ou em fonte monoespaçada, conforme o template permitir.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Apresentar a tabela comparativa das duas rodadas, item a item, com as notas lado a lado e justificativas resumidas. Rodada do código: 5, 4, 3, 4, 5, 5, 2, 3, 1, com média 3,56 nos nove itens e 4,14 excluindo os itens 7 e 9 como NA. Rodada do agregado: 5, 4, 3, 4, 5, 5, 3, 3, NA, com média 4,00 nos oito itens aplicáveis. Registrar as condições associadas às notas do agregado: consistência entre vídeos e código no item 1, valores de produção no item 5 e legendagem dos vídeos no item 7.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[Fio da lacuna, aparição 3]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Apresentar como resultado central a nota metodológica que acompanha a tabela: as duas rodadas possuem bases distintas de itens aplicáveis, visto que a mudança da unidade de análise alterou não apenas as pontuações, mas o conjunto de itens que se aplicam. No agregado, o item 7 tornou-se plenamente aplicável, pois o objeto passou a conter multimídia, ao passo que o item 9 tornou-se NA por escopo. Por consequência, as médias não são diretamente comparáveis entre si e devem ser lidas junto do perfil item a item. Este é o resultado que responde empiricamente à pergunta formulada na introdução.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bookmarkStart w:colFirst="0" w:colLast="0" w:name="_jj2i903rbimc" w:id="4"/>
      <w:bookmarkEnd w:id="4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Discussão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Interpretar o perfil das duas rodadas, argumentando que os itens que permanecem baixos ou intermediários decorrem de limitações estruturais do formato: Feedback/Adaptação depende de mecanismos adaptativos que nem código nem vídeos estáticos proveem, enquanto Reusabilidade carrega o custo assumido da ancoragem curricular e do idioma. Discutir o argumento da manipulabilidade, segundo o qual a edição do código configura input diferencial, bem como os limites dessa leitura.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[Fio da lacuna, aparição 4]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Desenvolver como eixo central da seção o achado sobre a unidade de análise, considerando que a LORI foi desenhada para objetos multimídia e web [Nesbit et al. 2003, Leacock e Nesbit 2007]. Argumentar em dois movimentos. Primeiro, aplicar o instrumento a código-fonte isolado exige interpretação, e o mapeamento é imperfeito principalmente nos itens 7 e 9. Segundo, e mais importante, a comparação entre rodadas demonstra que a escolha da unidade avaliada determina quais itens se aplicam: o mesmo conteúdo nuclear, avaliado como código e como agregado, ativou o item 7 e desativou o item 9. Concluir que a linhagem do instrumento [Nesbit et al. 2002, Nesbit et al. 2003, Vargo et al. 2003, Leacock e Nesbit 2007] não oferece orientação para essa decisão, o que confirma a lacuna e a transforma em contribuição.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Relatar o exercício exploratório dos metadados como desdobramento do item 9. Registrar que, embora o item tenha sido marcado NA por escopo, foi gerado com assistência de IA (Claude, Anthropic) um registro IEEE LOM completo nas nove categorias, em binding XML e com versão legível em README. Argumentar de forma condicional: uma vez preenchido, validado contra o schema oficial e distribuído junto ao objeto, tal registro poderia defensavelmente elevar o item 9 a pontuação entre 3 e 4, sendo o 4 condicionado à aceitação do argumento de relevância dos padrões, segundo o qual SCORM e W3C são inaplicáveis ao formato do objeto. Extrair a consequência mais geral: a produção de metadados LOM deixou de ser a barreira de custo que historicamente justificava sua ausência em OAs de pequena escala, de modo que o custo de conformidade dos itens de padrão da LORI mudou de natureza desde a concepção do instrumento, o que reforça a necessidade de releitura de instrumentos de 2003 para objetos contemporâneos.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Desenvolver a decisão de estruturação como achado de design, uma vez que ela generaliza para além deste objeto. A lição é que a granularidade de um OA baseado em código executável possui um piso: o programa exige um conjunto mínimo de elementos para rodar e esse mínimo pode atravessar as fronteiras curriculares que se deseja isolar. Argumentar que a organização progressiva com caixa-preta responde a essa restrição e que ela dialoga tanto com a metáfora atômica [Wiley 2000] quanto com os princípios de coesão e desacoplamento [Boyle 2002].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Discutir as tensões de design restantes: a etiquetagem por unidade favorece a navegação, contudo ancora o objeto a um currículo específico; a separação entre versão comentada e versão limpa como decisão de gerenciamento de carga cognitiva; e a redundância intencional entre canais (texto e vídeo) como affordance simultânea de acessibilidade e de reusabilidade.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Reconhecer as limitações: a autoavaliação, sujeita ao viés do autor-avaliador, visto que o modelo recomendado é o painel convergente [Nesbit et al. 2002]; a circularidade parcial do exercício de metadados, no qual o mesmo assistente que gerou o artefato estimou seu efeito na nota; a ausência de aplicação com alunos reais; e o condicionamento de parte das notas do agregado a propriedades de produção dos vídeos.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bookmarkStart w:colFirst="0" w:colLast="0" w:name="_xnonhhxtzskc" w:id="5"/>
      <w:bookmarkEnd w:id="5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Trabalhos Relacionados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Organizar por proximidade temática: primeiramente os fundamentos de OA [Wiley 2000, Boyle 2002]; em seguida a avaliação de OA, com a linhagem LORI [Nesbit et al. 2002, Nesbit et al. 2003, Vargo et al. 2003, Leacock e Nesbit 2007]; por último a aprendizagem por exemplos e os jogos no ensino de programação [Bonetti et al. 2025], acrescentando o que mais vier do ranqueamento CPY.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Para cada grupo, fechar com o que este trabalho faz de diferente, haja vista que nenhum dos relacionados trata código-fonte documentado como OA avaliado por LORI, tampouco compara rodadas de avaliação com unidades de análise distintas sobre um agregado. Esse contraste retoma o fio da lacuna pela última vez antes da conclusão.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Nota de formato: o template da SBC não fixa a posição desta seção. Verificar se as normas do curso preferem a seção logo após a introdução ou antes da conclusão.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bookmarkStart w:colFirst="0" w:colLast="0" w:name="_6yvnit9ytp1c" w:id="6"/>
      <w:bookmarkEnd w:id="6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Conclusão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Retomar o objetivo e respondê-lo diretamente: o objeto foi construído como agregado de três componentes e avaliado em duas rodadas. Sintetizar o perfil, mencionando as médias (3,56 e 4,14 na rodada do código; 4,00 no agregado), os pontos fortes intrínsecos e as lacunas estruturais.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Reafirmar as contribuições em uma frase cada: o artefato; o achado sobre o piso de granularidade de OAs executáveis; e o achado sobre a unidade de análise, segundo o qual a escolha do que avaliar determina quais itens do instrumento se aplicam.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Elencar os trabalhos futuros: avaliação por painel convergente com múltiplos avaliadores [Nesbit et al. 2002]; aplicação em turma real com medição de aprendizagem; legendagem dos vídeos, consolidando a nota do item 7; caso o escopo de distribuição mude, preenchimento, validação e publicação do registro IEEE LOM já esboçado; tradução para ampliar a reusabilidade; e, finalmente, o desenvolvimento de orientações para aplicação de instrumentos como a LORI a agregados, dando continuidade à lacuna metodológica que estruturou o artigo.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bookmarkStart w:colFirst="0" w:colLast="0" w:name="_mmgp8ha56sn9" w:id="7"/>
      <w:bookmarkEnd w:id="7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References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Lista no formato do template (12pt, primeira linha sem recuo, linhas seguintes com recuo de 0,5 cm, 6 pontos de espaço antes de cada referência), ordenada alfabeticamente: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Bonetti, T. P., Silva, W. and Colanzi, T. E. (2025) "Example-Based learning in Software Engineering Education: a systematic mapping study", Computer Science Education,</w:t>
      </w:r>
      <w:hyperlink r:id="rId6">
        <w:r w:rsidDel="00000000" w:rsidR="00000000" w:rsidRPr="00000000">
          <w:rPr>
            <w:rFonts w:ascii="Helvetica Neue" w:cs="Helvetica Neue" w:eastAsia="Helvetica Neue" w:hAnsi="Helvetica Neue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Helvetica Neue" w:cs="Helvetica Neue" w:eastAsia="Helvetica Neue" w:hAnsi="Helvetica Neue"/>
            <w:color w:val="1155cc"/>
            <w:u w:val="single"/>
            <w:rtl w:val="0"/>
          </w:rPr>
          <w:t xml:space="preserve">https://doi.org/10.1080/08993408.2025.2543095</w:t>
        </w:r>
      </w:hyperlink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Boyle, T. (2002) "Design principles for authoring dynamic, reusable learning objects", Australasian Journal of Educational Technology, 18(1), p. 46-58.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Leacock, T. L. and Nesbit, J. C. (2007) "A framework for evaluating the quality of multimedia learning resources", Educational Technology &amp; Society, 10(2), p. 44-59.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Nesbit, J. C., Belfer, K. and Leacock, T. (2003) "Learning Object Review Instrument (LORI), version 1.5", E-Learning Research and Assessment Network.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Nesbit, J. C., Belfer, K. and Vargo, J. (2002) "A convergent participation model for evaluation of learning objects", Canadian Journal of Learning and Technology, 28(3), p. 105-120.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Vargo, J., Nesbit, J. C., Belfer, K. and Archambault, A. (2003) "Learning object evaluation: Computer mediated collaboration and inter-rater reliability", International Journal of Computers and Applications, 25(3), p. 198-205.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Wiley, D. A. (2000) "Connecting learning objects to instructional design theory: A definition, a metaphor, and a taxonomy", In: The Instructional Use of Learning Objects, Edited by D. A. Wiley, Association for Educational Communications and Technology.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i.org/10.1080/08993408.2025.2543095" TargetMode="External"/><Relationship Id="rId7" Type="http://schemas.openxmlformats.org/officeDocument/2006/relationships/hyperlink" Target="https://doi.org/10.1080/08993408.2025.2543095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