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1416i1yhc6f" w:id="0"/>
      <w:bookmarkEnd w:id="0"/>
      <w:r w:rsidDel="00000000" w:rsidR="00000000" w:rsidRPr="00000000">
        <w:rPr>
          <w:b w:val="1"/>
          <w:bCs w:val="1"/>
          <w:color w:val="000000"/>
          <w:sz w:val="26"/>
          <w:szCs w:val="26"/>
          <w:rtl w:val="0"/>
        </w:rPr>
        <w:t xml:space="preserve">Learning Object Evaluation: Computer-Mediated Collaboration and Inter-Rater Reliability (J. Vargo, J.C. Nesbit, K. Belfer, and A. Archambault, 2003)</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w49d5xi8qgv" w:id="1"/>
      <w:bookmarkEnd w:id="1"/>
      <w:r w:rsidDel="00000000" w:rsidR="00000000" w:rsidRPr="00000000">
        <w:rPr>
          <w:b w:val="1"/>
          <w:bCs w:val="1"/>
          <w:color w:val="000000"/>
          <w:sz w:val="26"/>
          <w:szCs w:val="26"/>
          <w:rtl w:val="0"/>
        </w:rPr>
        <w:t xml:space="preserve">Contexto</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rtl w:val="0"/>
        </w:rPr>
        <w:t xml:space="preserve">Com o crescimento da educação baseada na web, surgiram repositórios de objetos de aprendizagem (OAs) que permitem o compartilhamento de recursos educacionais digitais em larga escala. Padrões de metadados como o IEEE LOM foram desenvolvidos para facilitar a busca e recuperação desses objetos. Porém, faltava um mecanismo confiável para avaliar a qualidade desses recursos antes de serem adotados por educadores.</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000000"/>
          <w:sz w:val="26"/>
          <w:szCs w:val="26"/>
        </w:rPr>
      </w:pPr>
      <w:r w:rsidDel="00000000" w:rsidR="00000000" w:rsidRPr="00000000">
        <w:rPr>
          <w:b w:val="1"/>
          <w:bCs w:val="1"/>
          <w:color w:val="000000"/>
          <w:sz w:val="26"/>
          <w:szCs w:val="26"/>
          <w:rtl w:val="0"/>
        </w:rPr>
        <w:t xml:space="preserve">Problema</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rtl w:val="0"/>
        </w:rPr>
        <w:t xml:space="preserve">Não existia um método sistemático, confiável e validado para avaliar a qualidade de objetos de aprendizagem. Os repositórios existentes  como MERLOT e EvaluTech  tinham sistemas de avaliação superficiais (comentários simples ou notas gerais), sem envolvimento de equipes multidisciplinares e sem análise de concordância entre avaliadores (</w:t>
      </w:r>
      <w:r w:rsidDel="00000000" w:rsidR="00000000" w:rsidRPr="00000000">
        <w:rPr>
          <w:i w:val="1"/>
          <w:iCs w:val="1"/>
          <w:rtl w:val="0"/>
        </w:rPr>
        <w:t xml:space="preserve">inter-rater reliability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ymipde2fyq8" w:id="2"/>
      <w:bookmarkEnd w:id="2"/>
      <w:r w:rsidDel="00000000" w:rsidR="00000000" w:rsidRPr="00000000">
        <w:rPr>
          <w:b w:val="1"/>
          <w:bCs w:val="1"/>
          <w:color w:val="000000"/>
          <w:sz w:val="26"/>
          <w:szCs w:val="26"/>
          <w:rtl w:val="0"/>
        </w:rPr>
        <w:t xml:space="preserve">Solução</w:t>
      </w:r>
    </w:p>
    <w:p w:rsidR="00000000" w:rsidDel="00000000" w:rsidP="00000000" w:rsidRDefault="00000000" w:rsidRPr="00000000" w14:paraId="0000000B">
      <w:pPr>
        <w:spacing w:after="240" w:before="240" w:lineRule="auto"/>
        <w:rPr/>
      </w:pPr>
      <w:r w:rsidDel="00000000" w:rsidR="00000000" w:rsidRPr="00000000">
        <w:rPr>
          <w:rtl w:val="0"/>
        </w:rPr>
        <w:t xml:space="preserve">Os autores propuseram dois componentes integrados:</w:t>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b w:val="1"/>
          <w:bCs w:val="1"/>
          <w:rtl w:val="0"/>
        </w:rPr>
        <w:t xml:space="preserve">LORI (Learning Object Review Instrument, v1.3)</w:t>
      </w:r>
      <w:r w:rsidDel="00000000" w:rsidR="00000000" w:rsidRPr="00000000">
        <w:rPr>
          <w:rtl w:val="0"/>
        </w:rPr>
        <w:t xml:space="preserve">  instrumento com </w:t>
      </w:r>
      <w:r w:rsidDel="00000000" w:rsidR="00000000" w:rsidRPr="00000000">
        <w:rPr>
          <w:b w:val="1"/>
          <w:bCs w:val="1"/>
          <w:rtl w:val="0"/>
        </w:rPr>
        <w:t xml:space="preserve">10 critérios</w:t>
      </w:r>
      <w:r w:rsidDel="00000000" w:rsidR="00000000" w:rsidRPr="00000000">
        <w:rPr>
          <w:rtl w:val="0"/>
        </w:rPr>
        <w:t xml:space="preserve"> de avaliação (estética, design instrucional, precisão do conteúdo, motivação, usabilidade, acessibilidade, reusabilidade, entre outros), cada um em escala de 0 a 4. </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1. Presentation: aesthetics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2. Presentation: design for learning</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3. Accuracy of content</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4. Support for learning goals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5. Motivation</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6. Interaction: usability</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7. Interaction: feedback and adaptation</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8. Reusability</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9. Metadata and interoperability compliance</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10. Accessibility</w:t>
      </w:r>
    </w:p>
    <w:p w:rsidR="00000000" w:rsidDel="00000000" w:rsidP="00000000" w:rsidRDefault="00000000" w:rsidRPr="00000000" w14:paraId="00000017">
      <w:pPr>
        <w:spacing w:after="240" w:before="240" w:lineRule="auto"/>
        <w:rPr/>
      </w:pPr>
      <w:r w:rsidDel="00000000" w:rsidR="00000000" w:rsidRPr="00000000">
        <w:rPr>
          <w:rtl w:val="0"/>
        </w:rPr>
        <w:tab/>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Modelo de Participação Convergente</w:t>
      </w:r>
      <w:r w:rsidDel="00000000" w:rsidR="00000000" w:rsidRPr="00000000">
        <w:rPr>
          <w:rtl w:val="0"/>
        </w:rPr>
        <w:t xml:space="preserve">  processo colaborativo em dois ciclos:</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bCs w:val="1"/>
          <w:rtl w:val="0"/>
        </w:rPr>
        <w:t xml:space="preserve">Ciclo 1:</w:t>
      </w:r>
      <w:r w:rsidDel="00000000" w:rsidR="00000000" w:rsidRPr="00000000">
        <w:rPr>
          <w:rtl w:val="0"/>
        </w:rPr>
        <w:t xml:space="preserve"> avaliadores individuais analisam os OAs de forma assíncrona</w:t>
      </w:r>
    </w:p>
    <w:p w:rsidR="00000000" w:rsidDel="00000000" w:rsidP="00000000" w:rsidRDefault="00000000" w:rsidRPr="00000000" w14:paraId="0000001A">
      <w:pPr>
        <w:numPr>
          <w:ilvl w:val="1"/>
          <w:numId w:val="4"/>
        </w:numPr>
        <w:spacing w:after="240" w:before="0" w:beforeAutospacing="0" w:lineRule="auto"/>
        <w:ind w:left="1440" w:hanging="360"/>
      </w:pPr>
      <w:r w:rsidDel="00000000" w:rsidR="00000000" w:rsidRPr="00000000">
        <w:rPr>
          <w:b w:val="1"/>
          <w:bCs w:val="1"/>
          <w:rtl w:val="0"/>
        </w:rPr>
        <w:t xml:space="preserve">Ciclo 2:</w:t>
      </w:r>
      <w:r w:rsidDel="00000000" w:rsidR="00000000" w:rsidRPr="00000000">
        <w:rPr>
          <w:rtl w:val="0"/>
        </w:rPr>
        <w:t xml:space="preserve"> discussão síncrona via chat, com foco nos itens de maior divergência, até chegar a um consenso publicável</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color w:val="000000"/>
          <w:sz w:val="22"/>
          <w:szCs w:val="22"/>
        </w:rPr>
      </w:pPr>
      <w:bookmarkStart w:colFirst="0" w:colLast="0" w:name="_xtsf3oxjp75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2txhwr401mm" w:id="4"/>
      <w:bookmarkEnd w:id="4"/>
      <w:r w:rsidDel="00000000" w:rsidR="00000000" w:rsidRPr="00000000">
        <w:rPr>
          <w:b w:val="1"/>
          <w:bCs w:val="1"/>
          <w:color w:val="000000"/>
          <w:sz w:val="26"/>
          <w:szCs w:val="26"/>
          <w:rtl w:val="0"/>
        </w:rPr>
        <w:t xml:space="preserve">Avaliação (Metodologia)</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12 participantes</w:t>
      </w:r>
      <w:r w:rsidDel="00000000" w:rsidR="00000000" w:rsidRPr="00000000">
        <w:rPr>
          <w:rtl w:val="0"/>
        </w:rPr>
        <w:t xml:space="preserve"> (profissionais de tecnologia educacional e docentes universitários) divididos em 3 grupos de 4</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8 objetos de aprendizagem</w:t>
      </w:r>
      <w:r w:rsidDel="00000000" w:rsidR="00000000" w:rsidRPr="00000000">
        <w:rPr>
          <w:rtl w:val="0"/>
        </w:rPr>
        <w:t xml:space="preserve"> avaliados, separados em dois conjuntos: um discutido colaborativamente (experimental) e outro não (controle)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Medição da </w:t>
      </w:r>
      <w:r w:rsidDel="00000000" w:rsidR="00000000" w:rsidRPr="00000000">
        <w:rPr>
          <w:b w:val="1"/>
          <w:bCs w:val="1"/>
          <w:rtl w:val="0"/>
        </w:rPr>
        <w:t xml:space="preserve">concordância entre avaliadores</w:t>
      </w:r>
      <w:r w:rsidDel="00000000" w:rsidR="00000000" w:rsidRPr="00000000">
        <w:rPr>
          <w:rtl w:val="0"/>
        </w:rPr>
        <w:t xml:space="preserve"> pelo Coeficiente de Correlação Intraclasse (ICC), antes e depois da discussão colaborativa</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Plataforma: Microsoft Word/Excel para avaliação individual + chat MSN Groups para sessões síncronas</w:t>
      </w:r>
    </w:p>
    <w:p w:rsidR="00000000" w:rsidDel="00000000" w:rsidP="00000000" w:rsidRDefault="00000000" w:rsidRPr="00000000" w14:paraId="00000022">
      <w:pPr>
        <w:pStyle w:val="Heading3"/>
        <w:keepNext w:val="0"/>
        <w:keepLines w:val="0"/>
        <w:spacing w:before="280" w:lineRule="auto"/>
        <w:rPr>
          <w:color w:val="000000"/>
          <w:sz w:val="22"/>
          <w:szCs w:val="22"/>
        </w:rPr>
      </w:pPr>
      <w:bookmarkStart w:colFirst="0" w:colLast="0" w:name="_5cf5hvkheyek"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ev5w4wzw0cw" w:id="6"/>
      <w:bookmarkEnd w:id="6"/>
      <w:r w:rsidDel="00000000" w:rsidR="00000000" w:rsidRPr="00000000">
        <w:rPr>
          <w:b w:val="1"/>
          <w:bCs w:val="1"/>
          <w:color w:val="000000"/>
          <w:sz w:val="26"/>
          <w:szCs w:val="26"/>
          <w:rtl w:val="0"/>
        </w:rPr>
        <w:t xml:space="preserve">Resultados</w:t>
      </w:r>
    </w:p>
    <w:p w:rsidR="00000000" w:rsidDel="00000000" w:rsidP="00000000" w:rsidRDefault="00000000" w:rsidRPr="00000000" w14:paraId="00000024">
      <w:pPr>
        <w:pStyle w:val="Heading3"/>
        <w:keepNext w:val="0"/>
        <w:keepLines w:val="0"/>
        <w:spacing w:before="280" w:lineRule="auto"/>
        <w:rPr>
          <w:color w:val="000000"/>
          <w:sz w:val="22"/>
          <w:szCs w:val="22"/>
        </w:rPr>
      </w:pPr>
      <w:bookmarkStart w:colFirst="0" w:colLast="0" w:name="_v9shxfdpn68f" w:id="7"/>
      <w:bookmarkEnd w:id="7"/>
      <w:r w:rsidDel="00000000" w:rsidR="00000000" w:rsidRPr="00000000">
        <w:rPr>
          <w:color w:val="000000"/>
          <w:sz w:val="22"/>
          <w:szCs w:val="22"/>
          <w:rtl w:val="0"/>
        </w:rPr>
        <w:t xml:space="preserve">A colaboração estruturada </w:t>
      </w:r>
      <w:r w:rsidDel="00000000" w:rsidR="00000000" w:rsidRPr="00000000">
        <w:rPr>
          <w:b w:val="1"/>
          <w:bCs w:val="1"/>
          <w:color w:val="000000"/>
          <w:sz w:val="22"/>
          <w:szCs w:val="22"/>
          <w:rtl w:val="0"/>
        </w:rPr>
        <w:t xml:space="preserve">aumentou significativamente</w:t>
      </w:r>
      <w:r w:rsidDel="00000000" w:rsidR="00000000" w:rsidRPr="00000000">
        <w:rPr>
          <w:color w:val="000000"/>
          <w:sz w:val="22"/>
          <w:szCs w:val="22"/>
          <w:rtl w:val="0"/>
        </w:rPr>
        <w:t xml:space="preserve"> a confiabilidade das avaliações, especialmente para os objetos efetivamente discutidos em grupo.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nfncaidmjej" w:id="8"/>
      <w:bookmarkEnd w:id="8"/>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029">
      <w:pPr>
        <w:spacing w:after="240" w:before="240" w:lineRule="auto"/>
        <w:rPr/>
      </w:pPr>
      <w:r w:rsidDel="00000000" w:rsidR="00000000" w:rsidRPr="00000000">
        <w:rPr>
          <w:rtl w:val="0"/>
        </w:rPr>
        <w:t xml:space="preserve">Como estou desenvolvendo</w:t>
      </w:r>
      <w:r w:rsidDel="00000000" w:rsidR="00000000" w:rsidRPr="00000000">
        <w:rPr>
          <w:rtl w:val="0"/>
        </w:rPr>
        <w:t xml:space="preserve"> um objeto de aprendizagem, este artigo é diretamente relevante em pelo menos três frentes: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Critérios de qualidade para guiar o desenvolvimento</w:t>
      </w:r>
      <w:r w:rsidDel="00000000" w:rsidR="00000000" w:rsidRPr="00000000">
        <w:rPr>
          <w:rtl w:val="0"/>
        </w:rPr>
        <w:t xml:space="preserve">  os 10 itens do LORI funcionam como um </w:t>
      </w:r>
      <w:r w:rsidDel="00000000" w:rsidR="00000000" w:rsidRPr="00000000">
        <w:rPr>
          <w:i w:val="1"/>
          <w:iCs w:val="1"/>
          <w:rtl w:val="0"/>
        </w:rPr>
        <w:t xml:space="preserve">checklist</w:t>
      </w:r>
      <w:r w:rsidDel="00000000" w:rsidR="00000000" w:rsidRPr="00000000">
        <w:rPr>
          <w:rtl w:val="0"/>
        </w:rPr>
        <w:t xml:space="preserve"> de design: ao construir </w:t>
      </w:r>
      <w:r w:rsidDel="00000000" w:rsidR="00000000" w:rsidRPr="00000000">
        <w:rPr>
          <w:rtl w:val="0"/>
        </w:rPr>
        <w:t xml:space="preserve">o OA</w:t>
      </w:r>
      <w:r w:rsidDel="00000000" w:rsidR="00000000" w:rsidRPr="00000000">
        <w:rPr>
          <w:rtl w:val="0"/>
        </w:rPr>
        <w:t xml:space="preserve">, posso verificar se está atendendo critérios como clareza da apresentação, alinhamento com objetivos, motivação, usabilidade e acessibilidade.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Fundamentação teórica</w:t>
      </w:r>
      <w:r w:rsidDel="00000000" w:rsidR="00000000" w:rsidRPr="00000000">
        <w:rPr>
          <w:rtl w:val="0"/>
        </w:rPr>
        <w:t xml:space="preserve">  o artigo oferece embasamento sólido para justificar </w:t>
      </w:r>
      <w:r w:rsidDel="00000000" w:rsidR="00000000" w:rsidRPr="00000000">
        <w:rPr>
          <w:i w:val="1"/>
          <w:iCs w:val="1"/>
          <w:rtl w:val="0"/>
        </w:rPr>
        <w:t xml:space="preserve">por que</w:t>
      </w:r>
      <w:r w:rsidDel="00000000" w:rsidR="00000000" w:rsidRPr="00000000">
        <w:rPr>
          <w:rtl w:val="0"/>
        </w:rPr>
        <w:t xml:space="preserve"> e </w:t>
      </w:r>
      <w:r w:rsidDel="00000000" w:rsidR="00000000" w:rsidRPr="00000000">
        <w:rPr>
          <w:i w:val="1"/>
          <w:iCs w:val="1"/>
          <w:rtl w:val="0"/>
        </w:rPr>
        <w:t xml:space="preserve">como</w:t>
      </w:r>
      <w:r w:rsidDel="00000000" w:rsidR="00000000" w:rsidRPr="00000000">
        <w:rPr>
          <w:rtl w:val="0"/>
        </w:rPr>
        <w:t xml:space="preserve"> avaliar OAs, algo que pode compor a seção de metodologia ou referencial teórico do objeto. </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Processo de avaliação do OA</w:t>
      </w:r>
      <w:r w:rsidDel="00000000" w:rsidR="00000000" w:rsidRPr="00000000">
        <w:rPr>
          <w:rtl w:val="0"/>
        </w:rPr>
        <w:t xml:space="preserve">  caso precise validar a qualidade do objeto desenvolvido, poderia usar o LORI e o Modelo de Participação Convergente como referência metodológica, reunindo avaliadores com perfis complementares (especialista em conteúdo, designer instrucional, usuário final).</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color w:val="000000"/>
          <w:sz w:val="26"/>
          <w:szCs w:val="26"/>
        </w:rPr>
      </w:pPr>
      <w:r w:rsidDel="00000000" w:rsidR="00000000" w:rsidRPr="00000000">
        <w:rPr>
          <w:b w:val="1"/>
          <w:bCs w:val="1"/>
          <w:i w:val="1"/>
          <w:iCs w:val="1"/>
          <w:sz w:val="26"/>
          <w:szCs w:val="26"/>
          <w:rtl w:val="0"/>
        </w:rPr>
        <w:t xml:space="preserve">Web-Based Tools for Learning Object Evaluation</w:t>
      </w:r>
      <w:r w:rsidDel="00000000" w:rsidR="00000000" w:rsidRPr="00000000">
        <w:rPr>
          <w:b w:val="1"/>
          <w:bCs w:val="1"/>
          <w:sz w:val="26"/>
          <w:szCs w:val="26"/>
          <w:rtl w:val="0"/>
        </w:rPr>
        <w:t xml:space="preserve"> (Nesbit &amp; Li, 2004) </w: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ind w:left="720" w:firstLine="0"/>
        <w:rPr>
          <w:b w:val="1"/>
          <w:bCs w:val="1"/>
          <w:color w:val="000000"/>
          <w:sz w:val="26"/>
          <w:szCs w:val="26"/>
        </w:rPr>
      </w:pPr>
      <w:bookmarkStart w:colFirst="0" w:colLast="0" w:name="_oau46u4k4ngt" w:id="9"/>
      <w:bookmarkEnd w:id="9"/>
      <w:r w:rsidDel="00000000" w:rsidR="00000000" w:rsidRPr="00000000">
        <w:rPr>
          <w:b w:val="1"/>
          <w:bCs w:val="1"/>
          <w:color w:val="000000"/>
          <w:sz w:val="26"/>
          <w:szCs w:val="26"/>
          <w:rtl w:val="0"/>
        </w:rPr>
        <w:t xml:space="preserve">Contexto</w:t>
      </w:r>
    </w:p>
    <w:p w:rsidR="00000000" w:rsidDel="00000000" w:rsidP="00000000" w:rsidRDefault="00000000" w:rsidRPr="00000000" w14:paraId="00000046">
      <w:pPr>
        <w:spacing w:after="240" w:before="240" w:lineRule="auto"/>
        <w:rPr/>
      </w:pPr>
      <w:r w:rsidDel="00000000" w:rsidR="00000000" w:rsidRPr="00000000">
        <w:rPr>
          <w:rtl w:val="0"/>
        </w:rPr>
        <w:t xml:space="preserve">Com o crescimento acelerado de repositórios digitais de objetos de aprendizagem  o NSDL americano projetava alcançar mais de um milhão de OAs em poucos anos  tornou-se urgente desenvolver ferramentas de avaliação que fossem ao mesmo tempo </w:t>
      </w:r>
      <w:r w:rsidDel="00000000" w:rsidR="00000000" w:rsidRPr="00000000">
        <w:rPr>
          <w:b w:val="1"/>
          <w:bCs w:val="1"/>
          <w:rtl w:val="0"/>
        </w:rPr>
        <w:t xml:space="preserve">válidas, usáveis e escaláveis</w:t>
      </w:r>
      <w:r w:rsidDel="00000000" w:rsidR="00000000" w:rsidRPr="00000000">
        <w:rPr>
          <w:rtl w:val="0"/>
        </w:rPr>
        <w:t xml:space="preserve">. Repositórios como MERLOT, CLOE e DLNET já existiam, mas apresentavam limitações: poucos critérios avaliativos, ausência de interação entre avaliadores e nenhum suporte a pesquisa sistemática sobre qualidade.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uwlxz4rnhcb" w:id="10"/>
      <w:bookmarkEnd w:id="10"/>
      <w:r w:rsidDel="00000000" w:rsidR="00000000" w:rsidRPr="00000000">
        <w:rPr>
          <w:rtl w:val="0"/>
        </w:rPr>
      </w:r>
    </w:p>
    <w:p w:rsidR="00000000" w:rsidDel="00000000" w:rsidP="00000000" w:rsidRDefault="00000000" w:rsidRPr="00000000" w14:paraId="00000048">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720" w:firstLine="0"/>
        <w:rPr>
          <w:b w:val="1"/>
          <w:bCs w:val="1"/>
          <w:color w:val="000000"/>
          <w:sz w:val="26"/>
          <w:szCs w:val="26"/>
        </w:rPr>
      </w:pPr>
      <w:bookmarkStart w:colFirst="0" w:colLast="0" w:name="_6x4bqi398sca" w:id="11"/>
      <w:bookmarkEnd w:id="11"/>
      <w:r w:rsidDel="00000000" w:rsidR="00000000" w:rsidRPr="00000000">
        <w:rPr>
          <w:b w:val="1"/>
          <w:bCs w:val="1"/>
          <w:color w:val="000000"/>
          <w:sz w:val="26"/>
          <w:szCs w:val="26"/>
          <w:rtl w:val="0"/>
        </w:rPr>
        <w:t xml:space="preserve">Problema</w:t>
      </w:r>
    </w:p>
    <w:p w:rsidR="00000000" w:rsidDel="00000000" w:rsidP="00000000" w:rsidRDefault="00000000" w:rsidRPr="00000000" w14:paraId="0000004A">
      <w:pPr>
        <w:spacing w:after="240" w:before="240" w:lineRule="auto"/>
        <w:rPr/>
      </w:pPr>
      <w:r w:rsidDel="00000000" w:rsidR="00000000" w:rsidRPr="00000000">
        <w:rPr>
          <w:rtl w:val="0"/>
        </w:rPr>
        <w:t xml:space="preserve">Os métodos de avaliação disponíveis eram insuficientes em três frentes: não previam equipes multidisciplinares colaborando de forma estruturada; não ofereciam agregação estatística de dados nem suporte a pesquisa; e os instrumentos eram genéricos demais para captar a complexidade do design instrucional de OAs. Além disso, a maioria dos sistemas não aproveitava recursos modernos da web, como recomendações personalizadas e sistemas de reputação entre usuários.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w2juorimdln" w:id="12"/>
      <w:bookmarkEnd w:id="12"/>
      <w:r w:rsidDel="00000000" w:rsidR="00000000" w:rsidRPr="00000000">
        <w:rPr>
          <w:rtl w:val="0"/>
        </w:rPr>
      </w:r>
    </w:p>
    <w:p w:rsidR="00000000" w:rsidDel="00000000" w:rsidP="00000000" w:rsidRDefault="00000000" w:rsidRPr="00000000" w14:paraId="0000004C">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left="720" w:firstLine="0"/>
        <w:rPr>
          <w:b w:val="1"/>
          <w:bCs w:val="1"/>
          <w:color w:val="000000"/>
          <w:sz w:val="26"/>
          <w:szCs w:val="26"/>
        </w:rPr>
      </w:pPr>
      <w:bookmarkStart w:colFirst="0" w:colLast="0" w:name="_qok4afz53gxj" w:id="13"/>
      <w:bookmarkEnd w:id="13"/>
      <w:r w:rsidDel="00000000" w:rsidR="00000000" w:rsidRPr="00000000">
        <w:rPr>
          <w:b w:val="1"/>
          <w:bCs w:val="1"/>
          <w:color w:val="000000"/>
          <w:sz w:val="26"/>
          <w:szCs w:val="26"/>
          <w:rtl w:val="0"/>
        </w:rPr>
        <w:t xml:space="preserve">Solução</w:t>
      </w:r>
    </w:p>
    <w:p w:rsidR="00000000" w:rsidDel="00000000" w:rsidP="00000000" w:rsidRDefault="00000000" w:rsidRPr="00000000" w14:paraId="0000004E">
      <w:pPr>
        <w:spacing w:after="240" w:before="240" w:lineRule="auto"/>
        <w:rPr/>
      </w:pPr>
      <w:r w:rsidDel="00000000" w:rsidR="00000000" w:rsidRPr="00000000">
        <w:rPr>
          <w:rtl w:val="0"/>
        </w:rPr>
        <w:t xml:space="preserve">Os autores apresentam o </w:t>
      </w:r>
      <w:r w:rsidDel="00000000" w:rsidR="00000000" w:rsidRPr="00000000">
        <w:rPr>
          <w:b w:val="1"/>
          <w:bCs w:val="1"/>
          <w:rtl w:val="0"/>
        </w:rPr>
        <w:t xml:space="preserve">eLera</w:t>
      </w:r>
      <w:r w:rsidDel="00000000" w:rsidR="00000000" w:rsidRPr="00000000">
        <w:rPr>
          <w:rtl w:val="0"/>
        </w:rPr>
        <w:t xml:space="preserve"> (</w:t>
      </w:r>
      <w:r w:rsidDel="00000000" w:rsidR="00000000" w:rsidRPr="00000000">
        <w:rPr>
          <w:i w:val="1"/>
          <w:iCs w:val="1"/>
          <w:rtl w:val="0"/>
        </w:rPr>
        <w:t xml:space="preserve">e-Learning Research and Assessment</w:t>
      </w:r>
      <w:r w:rsidDel="00000000" w:rsidR="00000000" w:rsidRPr="00000000">
        <w:rPr>
          <w:rtl w:val="0"/>
        </w:rPr>
        <w:t xml:space="preserve">), uma plataforma web com três componentes integrados: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b w:val="1"/>
          <w:bCs w:val="1"/>
          <w:rtl w:val="0"/>
        </w:rPr>
        <w:t xml:space="preserve">LORI v1.5</w:t>
      </w:r>
      <w:r w:rsidDel="00000000" w:rsidR="00000000" w:rsidRPr="00000000">
        <w:rPr>
          <w:rtl w:val="0"/>
        </w:rPr>
        <w:t xml:space="preserve">  instrumento de avaliação refinado (ver seção abaixo)</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Avaliação colaborativa</w:t>
      </w:r>
      <w:r w:rsidDel="00000000" w:rsidR="00000000" w:rsidRPr="00000000">
        <w:rPr>
          <w:rtl w:val="0"/>
        </w:rPr>
        <w:t xml:space="preserve">  suporte ao Modelo de Participação Convergente diretamente na plataforma, com convite de avaliadores, sessões síncronas e publicação de revisão coletiva</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b w:val="1"/>
          <w:bCs w:val="1"/>
          <w:rtl w:val="0"/>
        </w:rPr>
        <w:t xml:space="preserve">Infraestrutura de pesquisa</w:t>
      </w:r>
      <w:r w:rsidDel="00000000" w:rsidR="00000000" w:rsidRPr="00000000">
        <w:rPr>
          <w:rtl w:val="0"/>
        </w:rPr>
        <w:t xml:space="preserve">  coleta de dados de avaliação antes e depois de discussões, perfis de usuários, sistema de recomendação e redes de confiança (</w:t>
      </w:r>
      <w:r w:rsidDel="00000000" w:rsidR="00000000" w:rsidRPr="00000000">
        <w:rPr>
          <w:i w:val="1"/>
          <w:iCs w:val="1"/>
          <w:rtl w:val="0"/>
        </w:rPr>
        <w:t xml:space="preserve">web of trust</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0" w:firstLine="0"/>
        <w:rPr/>
      </w:pPr>
      <w:bookmarkStart w:colFirst="0" w:colLast="0" w:name="_8f16gp1q2ldt" w:id="14"/>
      <w:bookmarkEnd w:id="14"/>
      <w:r w:rsidDel="00000000" w:rsidR="00000000" w:rsidRPr="00000000">
        <w:rPr>
          <w:b w:val="1"/>
          <w:bCs w:val="1"/>
          <w:color w:val="000000"/>
          <w:sz w:val="26"/>
          <w:szCs w:val="26"/>
          <w:rtl w:val="0"/>
        </w:rPr>
        <w:t xml:space="preserve">Diferenças entre LORI v1.3 e LORI v1.5</w:t>
      </w:r>
      <w:r w:rsidDel="00000000" w:rsidR="00000000" w:rsidRPr="00000000">
        <w:rPr>
          <w:rtl w:val="0"/>
        </w:rPr>
      </w:r>
    </w:p>
    <w:tbl>
      <w:tblPr>
        <w:tblStyle w:val="Table1"/>
        <w:tblW w:w="9034.382055597183" w:type="dxa"/>
        <w:jc w:val="left"/>
        <w:tblLayout w:type="fixed"/>
        <w:tblLook w:val="0600"/>
      </w:tblPr>
      <w:tblGrid>
        <w:gridCol w:w="2790"/>
        <w:gridCol w:w="2790"/>
        <w:gridCol w:w="3454.3820555971847"/>
        <w:tblGridChange w:id="0">
          <w:tblGrid>
            <w:gridCol w:w="2790"/>
            <w:gridCol w:w="2790"/>
            <w:gridCol w:w="3454.382055597184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720"/>
              <w:jc w:val="center"/>
              <w:rPr/>
            </w:pPr>
            <w:r w:rsidDel="00000000" w:rsidR="00000000" w:rsidRPr="00000000">
              <w:rPr>
                <w:b w:val="1"/>
                <w:bCs w:val="1"/>
                <w:rtl w:val="0"/>
              </w:rPr>
              <w:t xml:space="preserve">Aspecto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firstLine="0"/>
              <w:jc w:val="center"/>
              <w:rPr/>
            </w:pPr>
            <w:r w:rsidDel="00000000" w:rsidR="00000000" w:rsidRPr="00000000">
              <w:rPr>
                <w:b w:val="1"/>
                <w:bCs w:val="1"/>
                <w:rtl w:val="0"/>
              </w:rPr>
              <w:t xml:space="preserve">LORI v1.3 (Vargo et al., 2003)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firstLine="0"/>
              <w:jc w:val="center"/>
              <w:rPr/>
            </w:pPr>
            <w:r w:rsidDel="00000000" w:rsidR="00000000" w:rsidRPr="00000000">
              <w:rPr>
                <w:b w:val="1"/>
                <w:bCs w:val="1"/>
                <w:rtl w:val="0"/>
              </w:rPr>
              <w:t xml:space="preserve">LORI v1.5 (Nesbit &amp; Li, 2004)</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720"/>
              <w:jc w:val="center"/>
              <w:rPr/>
            </w:pPr>
            <w:r w:rsidDel="00000000" w:rsidR="00000000" w:rsidRPr="00000000">
              <w:rPr>
                <w:b w:val="1"/>
                <w:bCs w:val="1"/>
                <w:rtl w:val="0"/>
              </w:rPr>
              <w:t xml:space="preserve">Nº de itens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10 itens</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9 itens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720"/>
              <w:jc w:val="center"/>
              <w:rPr/>
            </w:pPr>
            <w:r w:rsidDel="00000000" w:rsidR="00000000" w:rsidRPr="00000000">
              <w:rPr>
                <w:b w:val="1"/>
                <w:bCs w:val="1"/>
                <w:rtl w:val="0"/>
              </w:rPr>
              <w:t xml:space="preserve">Escala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firstLine="0"/>
              <w:rPr/>
            </w:pPr>
            <w:r w:rsidDel="00000000" w:rsidR="00000000" w:rsidRPr="00000000">
              <w:rPr>
                <w:rFonts w:ascii="Arial Unicode MS" w:cs="Arial Unicode MS" w:eastAsia="Arial Unicode MS" w:hAnsi="Arial Unicode MS"/>
                <w:rtl w:val="0"/>
              </w:rPr>
              <w:t xml:space="preserve">0 a 4 (ausente → perfeito)</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720" w:firstLine="0"/>
              <w:rPr/>
            </w:pPr>
            <w:r w:rsidDel="00000000" w:rsidR="00000000" w:rsidRPr="00000000">
              <w:rPr>
                <w:rFonts w:ascii="Arial Unicode MS" w:cs="Arial Unicode MS" w:eastAsia="Arial Unicode MS" w:hAnsi="Arial Unicode MS"/>
                <w:rtl w:val="0"/>
              </w:rPr>
              <w:t xml:space="preserve">1 a 5 (Low → High) + opção N/A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720"/>
              <w:jc w:val="center"/>
              <w:rPr/>
            </w:pPr>
            <w:r w:rsidDel="00000000" w:rsidR="00000000" w:rsidRPr="00000000">
              <w:rPr>
                <w:b w:val="1"/>
                <w:bCs w:val="1"/>
                <w:rtl w:val="0"/>
              </w:rPr>
              <w:t xml:space="preserve">Item removido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"Presentation: aesthetics" foi fundido com design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720"/>
              <w:jc w:val="center"/>
              <w:rPr/>
            </w:pPr>
            <w:r w:rsidDel="00000000" w:rsidR="00000000" w:rsidRPr="00000000">
              <w:rPr>
                <w:b w:val="1"/>
                <w:bCs w:val="1"/>
                <w:rtl w:val="0"/>
              </w:rPr>
              <w:t xml:space="preserve">Nomenclatura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"Presentation: design for learning"</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Renomeado para </w:t>
            </w:r>
            <w:r w:rsidDel="00000000" w:rsidR="00000000" w:rsidRPr="00000000">
              <w:rPr>
                <w:b w:val="1"/>
                <w:bCs w:val="1"/>
                <w:rtl w:val="0"/>
              </w:rPr>
              <w:t xml:space="preserve">Presentation Design</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720"/>
              <w:jc w:val="center"/>
              <w:rPr/>
            </w:pPr>
            <w:r w:rsidDel="00000000" w:rsidR="00000000" w:rsidRPr="00000000">
              <w:rPr>
                <w:b w:val="1"/>
                <w:bCs w:val="1"/>
                <w:rtl w:val="0"/>
              </w:rPr>
              <w:t xml:space="preserve">"Accuracy of content"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Item separado</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Incorporado em </w:t>
            </w:r>
            <w:r w:rsidDel="00000000" w:rsidR="00000000" w:rsidRPr="00000000">
              <w:rPr>
                <w:b w:val="1"/>
                <w:bCs w:val="1"/>
                <w:rtl w:val="0"/>
              </w:rPr>
              <w:t xml:space="preserve">Content Quality</w:t>
            </w:r>
            <w:r w:rsidDel="00000000" w:rsidR="00000000" w:rsidRPr="00000000">
              <w:rPr>
                <w:rtl w:val="0"/>
              </w:rPr>
              <w:t xml:space="preserve"> (que inclui veracidade, equilíbrio e nível de detalhe)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720"/>
              <w:jc w:val="center"/>
              <w:rPr/>
            </w:pPr>
            <w:r w:rsidDel="00000000" w:rsidR="00000000" w:rsidRPr="00000000">
              <w:rPr>
                <w:b w:val="1"/>
                <w:bCs w:val="1"/>
                <w:rtl w:val="0"/>
              </w:rPr>
              <w:t xml:space="preserve">"Support for learning goals"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Item independente</w:t>
            </w:r>
          </w:p>
        </w:tc>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Expandido para </w:t>
            </w:r>
            <w:r w:rsidDel="00000000" w:rsidR="00000000" w:rsidRPr="00000000">
              <w:rPr>
                <w:b w:val="1"/>
                <w:bCs w:val="1"/>
                <w:rtl w:val="0"/>
              </w:rPr>
              <w:t xml:space="preserve">Learning Goal Alignment</w:t>
            </w:r>
            <w:r w:rsidDel="00000000" w:rsidR="00000000" w:rsidRPr="00000000">
              <w:rPr>
                <w:rtl w:val="0"/>
              </w:rPr>
              <w:t xml:space="preserve"> (inclui atividades e avaliações)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720"/>
              <w:jc w:val="center"/>
              <w:rPr/>
            </w:pPr>
            <w:r w:rsidDel="00000000" w:rsidR="00000000" w:rsidRPr="00000000">
              <w:rPr>
                <w:b w:val="1"/>
                <w:bCs w:val="1"/>
                <w:rtl w:val="0"/>
              </w:rPr>
              <w:t xml:space="preserve">Itens problemáticos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Items 9 e 10 geraram ICC inconclusivo por falta de conhecimento técnico dos avaliadores</w:t>
            </w:r>
          </w:p>
        </w:tc>
        <w:tc>
          <w:tcP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Mantidos, mas avaliadores podem pular itens com </w:t>
            </w:r>
            <w:r w:rsidDel="00000000" w:rsidR="00000000" w:rsidRPr="00000000">
              <w:rPr>
                <w:b w:val="1"/>
                <w:bCs w:val="1"/>
                <w:rtl w:val="0"/>
              </w:rPr>
              <w:t xml:space="preserve">opção N/A</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720"/>
              <w:jc w:val="center"/>
              <w:rPr/>
            </w:pPr>
            <w:r w:rsidDel="00000000" w:rsidR="00000000" w:rsidRPr="00000000">
              <w:rPr>
                <w:b w:val="1"/>
                <w:bCs w:val="1"/>
                <w:rtl w:val="0"/>
              </w:rPr>
              <w:t xml:space="preserve">Flexibilidade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Obrigatório avaliar todos os itens</w:t>
            </w:r>
          </w:p>
        </w:tc>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Avaliador pode </w:t>
            </w:r>
            <w:r w:rsidDel="00000000" w:rsidR="00000000" w:rsidRPr="00000000">
              <w:rPr>
                <w:b w:val="1"/>
                <w:bCs w:val="1"/>
                <w:rtl w:val="0"/>
              </w:rPr>
              <w:t xml:space="preserve">omitir itens</w:t>
            </w:r>
            <w:r w:rsidDel="00000000" w:rsidR="00000000" w:rsidRPr="00000000">
              <w:rPr>
                <w:rtl w:val="0"/>
              </w:rPr>
              <w:t xml:space="preserve"> que não consegue avaliar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720"/>
              <w:jc w:val="center"/>
              <w:rPr/>
            </w:pPr>
            <w:r w:rsidDel="00000000" w:rsidR="00000000" w:rsidRPr="00000000">
              <w:rPr>
                <w:b w:val="1"/>
                <w:bCs w:val="1"/>
                <w:rtl w:val="0"/>
              </w:rPr>
              <w:t xml:space="preserve">Plataforma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Formulário Word/Excel por e-mail</w:t>
            </w:r>
          </w:p>
        </w:tc>
        <w:tc>
          <w:tcP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Interface web integrada no eLera</w:t>
            </w:r>
          </w:p>
        </w:tc>
      </w:tr>
    </w:tbl>
    <w:p w:rsidR="00000000" w:rsidDel="00000000" w:rsidP="00000000" w:rsidRDefault="00000000" w:rsidRPr="00000000" w14:paraId="00000078">
      <w:pPr>
        <w:spacing w:after="240" w:before="240" w:lineRule="auto"/>
        <w:rPr/>
      </w:pPr>
      <w:r w:rsidDel="00000000" w:rsidR="00000000" w:rsidRPr="00000000">
        <w:rPr>
          <w:rtl w:val="0"/>
        </w:rPr>
        <w:t xml:space="preserve">Em síntese, a v1.5 é mais </w:t>
      </w:r>
      <w:r w:rsidDel="00000000" w:rsidR="00000000" w:rsidRPr="00000000">
        <w:rPr>
          <w:b w:val="1"/>
          <w:bCs w:val="1"/>
          <w:rtl w:val="0"/>
        </w:rPr>
        <w:t xml:space="preserve">enxuta, flexível e semanticamente mais rica</w:t>
      </w:r>
      <w:r w:rsidDel="00000000" w:rsidR="00000000" w:rsidRPr="00000000">
        <w:rPr>
          <w:rtl w:val="0"/>
        </w:rPr>
        <w:t xml:space="preserve">, corrigindo pontos fracos identificados no estudo de confiabilidade anterior.</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t104iq4whi3" w:id="15"/>
      <w:bookmarkEnd w:id="15"/>
      <w:r w:rsidDel="00000000" w:rsidR="00000000" w:rsidRPr="00000000">
        <w:rPr>
          <w:rtl w:val="0"/>
        </w:rPr>
      </w:r>
    </w:p>
    <w:p w:rsidR="00000000" w:rsidDel="00000000" w:rsidP="00000000" w:rsidRDefault="00000000" w:rsidRPr="00000000" w14:paraId="0000007A">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ind w:left="720" w:firstLine="0"/>
        <w:rPr>
          <w:b w:val="1"/>
          <w:bCs w:val="1"/>
          <w:color w:val="000000"/>
          <w:sz w:val="26"/>
          <w:szCs w:val="26"/>
        </w:rPr>
      </w:pPr>
      <w:bookmarkStart w:colFirst="0" w:colLast="0" w:name="_h18no11f3zab" w:id="16"/>
      <w:bookmarkEnd w:id="16"/>
      <w:r w:rsidDel="00000000" w:rsidR="00000000" w:rsidRPr="00000000">
        <w:rPr>
          <w:b w:val="1"/>
          <w:bCs w:val="1"/>
          <w:color w:val="000000"/>
          <w:sz w:val="26"/>
          <w:szCs w:val="26"/>
          <w:rtl w:val="0"/>
        </w:rPr>
        <w:t xml:space="preserve">Avaliação</w:t>
      </w:r>
    </w:p>
    <w:p w:rsidR="00000000" w:rsidDel="00000000" w:rsidP="00000000" w:rsidRDefault="00000000" w:rsidRPr="00000000" w14:paraId="0000007C">
      <w:pPr>
        <w:spacing w:after="240" w:before="240" w:lineRule="auto"/>
        <w:rPr/>
      </w:pPr>
      <w:r w:rsidDel="00000000" w:rsidR="00000000" w:rsidRPr="00000000">
        <w:rPr>
          <w:rtl w:val="0"/>
        </w:rPr>
        <w:t xml:space="preserve">O artigo é predominantemente </w:t>
      </w:r>
      <w:r w:rsidDel="00000000" w:rsidR="00000000" w:rsidRPr="00000000">
        <w:rPr>
          <w:b w:val="1"/>
          <w:bCs w:val="1"/>
          <w:rtl w:val="0"/>
        </w:rPr>
        <w:t xml:space="preserve">descritivo e propositivo</w:t>
      </w:r>
      <w:r w:rsidDel="00000000" w:rsidR="00000000" w:rsidRPr="00000000">
        <w:rPr>
          <w:rtl w:val="0"/>
        </w:rPr>
        <w:t xml:space="preserve">  apresenta o eLera como sistema em desenvolvimento e relata seu uso em workshops com professores. Não apresenta um novo estudo de confiabilidade, mas referencia os resultados do artigo anterior (Vargo et al., 2003) como base empírica. A validação do eLera como ferramenta de pesquisa estava ainda em curso à época da publicação.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3vwwsrkmiam9" w:id="17"/>
      <w:bookmarkEnd w:id="17"/>
      <w:r w:rsidDel="00000000" w:rsidR="00000000" w:rsidRPr="00000000">
        <w:rPr>
          <w:rtl w:val="0"/>
        </w:rPr>
      </w:r>
    </w:p>
    <w:p w:rsidR="00000000" w:rsidDel="00000000" w:rsidP="00000000" w:rsidRDefault="00000000" w:rsidRPr="00000000" w14:paraId="0000007E">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left="720" w:firstLine="0"/>
        <w:rPr>
          <w:b w:val="1"/>
          <w:bCs w:val="1"/>
          <w:color w:val="000000"/>
          <w:sz w:val="26"/>
          <w:szCs w:val="26"/>
        </w:rPr>
      </w:pPr>
      <w:bookmarkStart w:colFirst="0" w:colLast="0" w:name="_x27ha69dupms" w:id="18"/>
      <w:bookmarkEnd w:id="18"/>
      <w:r w:rsidDel="00000000" w:rsidR="00000000" w:rsidRPr="00000000">
        <w:rPr>
          <w:b w:val="1"/>
          <w:bCs w:val="1"/>
          <w:color w:val="000000"/>
          <w:sz w:val="26"/>
          <w:szCs w:val="26"/>
          <w:rtl w:val="0"/>
        </w:rPr>
        <w:t xml:space="preserve">Resultados</w:t>
      </w:r>
    </w:p>
    <w:p w:rsidR="00000000" w:rsidDel="00000000" w:rsidP="00000000" w:rsidRDefault="00000000" w:rsidRPr="00000000" w14:paraId="00000080">
      <w:pPr>
        <w:spacing w:after="240" w:before="240" w:lineRule="auto"/>
        <w:rPr/>
      </w:pPr>
      <w:r w:rsidDel="00000000" w:rsidR="00000000" w:rsidRPr="00000000">
        <w:rPr>
          <w:rtl w:val="0"/>
        </w:rPr>
        <w:t xml:space="preserve">Os resultados reportados são mais qualitativos do que estatísticos. Os principais achados foram que o eLera funcionou como suporte eficaz ao Modelo de Participação Convergente, permitindo capturar distribuições de notas antes e depois de discussões. Os workshops com professores revelaram que a taxonomia de assuntos do sistema (baseada no Dewey) era pouco intuitiva para o público docente, levando ao planejamento de taxonomias localizáveis. O sistema também demonstrou potencial para pesquisa sobre confiança e recomendação em comunidades de prática.</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f1sz17y0iavj" w:id="19"/>
      <w:bookmarkEnd w:id="19"/>
      <w:r w:rsidDel="00000000" w:rsidR="00000000" w:rsidRPr="00000000">
        <w:rPr>
          <w:rtl w:val="0"/>
        </w:rPr>
      </w:r>
    </w:p>
    <w:p w:rsidR="00000000" w:rsidDel="00000000" w:rsidP="00000000" w:rsidRDefault="00000000" w:rsidRPr="00000000" w14:paraId="00000082">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ind w:left="720" w:firstLine="0"/>
        <w:rPr>
          <w:b w:val="1"/>
          <w:bCs w:val="1"/>
          <w:color w:val="000000"/>
          <w:sz w:val="26"/>
          <w:szCs w:val="26"/>
        </w:rPr>
      </w:pPr>
      <w:bookmarkStart w:colFirst="0" w:colLast="0" w:name="_qzzsra9i4zuj" w:id="20"/>
      <w:bookmarkEnd w:id="20"/>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084">
      <w:pPr>
        <w:spacing w:after="240" w:before="240" w:lineRule="auto"/>
        <w:rPr/>
      </w:pPr>
      <w:r w:rsidDel="00000000" w:rsidR="00000000" w:rsidRPr="00000000">
        <w:rPr>
          <w:rtl w:val="0"/>
        </w:rPr>
        <w:t xml:space="preserve">Ao desenvolver meu objeto de aprendizagem, este artigo me oferece contribuições práticas e metodológicas em diferentes níveis.</w:t>
      </w:r>
    </w:p>
    <w:p w:rsidR="00000000" w:rsidDel="00000000" w:rsidP="00000000" w:rsidRDefault="00000000" w:rsidRPr="00000000" w14:paraId="00000085">
      <w:pPr>
        <w:spacing w:after="240" w:before="240" w:lineRule="auto"/>
        <w:rPr/>
      </w:pPr>
      <w:r w:rsidDel="00000000" w:rsidR="00000000" w:rsidRPr="00000000">
        <w:rPr>
          <w:rtl w:val="0"/>
        </w:rPr>
        <w:t xml:space="preserve">Primeiro, posso adotar a </w:t>
      </w:r>
      <w:r w:rsidDel="00000000" w:rsidR="00000000" w:rsidRPr="00000000">
        <w:rPr>
          <w:b w:val="1"/>
          <w:bCs w:val="1"/>
          <w:rtl w:val="0"/>
        </w:rPr>
        <w:t xml:space="preserve">LORI v1.5</w:t>
      </w:r>
      <w:r w:rsidDel="00000000" w:rsidR="00000000" w:rsidRPr="00000000">
        <w:rPr>
          <w:rtl w:val="0"/>
        </w:rPr>
        <w:t xml:space="preserve"> como instrumento de avaliação do meu OA, já que ela é mais refinada que a versão anterior: os 9 critérios são mais bem definidos e a opção N/A permite que avaliadores sem expertise técnica específica ainda contribuam de forma válida  algo muito útil se eu for reunir avaliadores com perfis diferentes.</w:t>
      </w:r>
    </w:p>
    <w:p w:rsidR="00000000" w:rsidDel="00000000" w:rsidP="00000000" w:rsidRDefault="00000000" w:rsidRPr="00000000" w14:paraId="00000086">
      <w:pPr>
        <w:spacing w:after="240" w:before="240" w:lineRule="auto"/>
        <w:rPr/>
      </w:pPr>
      <w:r w:rsidDel="00000000" w:rsidR="00000000" w:rsidRPr="00000000">
        <w:rPr>
          <w:rtl w:val="0"/>
        </w:rPr>
        <w:t xml:space="preserve">Segundo, o artigo me oferece uma </w:t>
      </w:r>
      <w:r w:rsidDel="00000000" w:rsidR="00000000" w:rsidRPr="00000000">
        <w:rPr>
          <w:b w:val="1"/>
          <w:bCs w:val="1"/>
          <w:rtl w:val="0"/>
        </w:rPr>
        <w:t xml:space="preserve">fundamentação para o processo avaliativo</w:t>
      </w:r>
      <w:r w:rsidDel="00000000" w:rsidR="00000000" w:rsidRPr="00000000">
        <w:rPr>
          <w:rtl w:val="0"/>
        </w:rPr>
        <w:t xml:space="preserve">: posso descrever no meu artigo que utilizei o LORI dentro do Modelo de Participação Convergente, referenciando tanto Vargo et al. (2003) quanto Nesbit &amp; Li (2004) para justificar a escolha do instrumento e do processo colaborativo.</w:t>
      </w:r>
    </w:p>
    <w:p w:rsidR="00000000" w:rsidDel="00000000" w:rsidP="00000000" w:rsidRDefault="00000000" w:rsidRPr="00000000" w14:paraId="00000087">
      <w:pPr>
        <w:spacing w:after="240" w:before="240" w:lineRule="auto"/>
        <w:rPr/>
      </w:pPr>
      <w:r w:rsidDel="00000000" w:rsidR="00000000" w:rsidRPr="00000000">
        <w:rPr>
          <w:rtl w:val="0"/>
        </w:rPr>
        <w:t xml:space="preserve">Terceiro, a comparação entre as versões do LORI me ajuda a </w:t>
      </w:r>
      <w:r w:rsidDel="00000000" w:rsidR="00000000" w:rsidRPr="00000000">
        <w:rPr>
          <w:b w:val="1"/>
          <w:bCs w:val="1"/>
          <w:rtl w:val="0"/>
        </w:rPr>
        <w:t xml:space="preserve">justificar qual versão utilizar</w:t>
      </w:r>
      <w:r w:rsidDel="00000000" w:rsidR="00000000" w:rsidRPr="00000000">
        <w:rPr>
          <w:rtl w:val="0"/>
        </w:rPr>
        <w:t xml:space="preserve">: se meu OA for avaliado por especialistas com diferentes perfis (conteúdo, design instrucional, tecnologia), a v1.5 é a mais adequada por ser mais flexível e ter critérios mais abrangentes como </w:t>
      </w:r>
      <w:r w:rsidDel="00000000" w:rsidR="00000000" w:rsidRPr="00000000">
        <w:rPr>
          <w:i w:val="1"/>
          <w:iCs w:val="1"/>
          <w:rtl w:val="0"/>
        </w:rPr>
        <w:t xml:space="preserve">Content Quality</w:t>
      </w:r>
      <w:r w:rsidDel="00000000" w:rsidR="00000000" w:rsidRPr="00000000">
        <w:rPr>
          <w:rtl w:val="0"/>
        </w:rPr>
        <w:t xml:space="preserve"> e </w:t>
      </w:r>
      <w:r w:rsidDel="00000000" w:rsidR="00000000" w:rsidRPr="00000000">
        <w:rPr>
          <w:i w:val="1"/>
          <w:iCs w:val="1"/>
          <w:rtl w:val="0"/>
        </w:rPr>
        <w:t xml:space="preserve">Learning Goal Alignment</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Por fim, a ideia de que a avaliação colaborativa </w:t>
      </w:r>
      <w:r w:rsidDel="00000000" w:rsidR="00000000" w:rsidRPr="00000000">
        <w:rPr>
          <w:b w:val="1"/>
          <w:bCs w:val="1"/>
          <w:rtl w:val="0"/>
        </w:rPr>
        <w:t xml:space="preserve">também serve como desenvolvimento profissional dos participantes</w:t>
      </w:r>
      <w:r w:rsidDel="00000000" w:rsidR="00000000" w:rsidRPr="00000000">
        <w:rPr>
          <w:rtl w:val="0"/>
        </w:rPr>
        <w:t xml:space="preserve"> é um argumento que posso incorporar ao meu artigo para fortalecer a relevância metodológica da avaliação por pares.</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tl w:val="0"/>
        </w:rPr>
      </w:r>
    </w:p>
    <w:p w:rsidR="00000000" w:rsidDel="00000000" w:rsidP="00000000" w:rsidRDefault="00000000" w:rsidRPr="00000000" w14:paraId="0000008F">
      <w:pPr>
        <w:spacing w:after="240" w:before="240" w:lineRule="auto"/>
        <w:ind w:left="0" w:firstLine="0"/>
        <w:rPr/>
      </w:pPr>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sz w:val="26"/>
          <w:szCs w:val="26"/>
        </w:rPr>
      </w:pPr>
      <w:r w:rsidDel="00000000" w:rsidR="00000000" w:rsidRPr="00000000">
        <w:rPr>
          <w:b w:val="1"/>
          <w:bCs w:val="1"/>
          <w:i w:val="1"/>
          <w:iCs w:val="1"/>
          <w:sz w:val="26"/>
          <w:szCs w:val="26"/>
          <w:rtl w:val="0"/>
        </w:rPr>
        <w:t xml:space="preserve">Design Principles for Authoring Dynamic, Reusable Learning Objects</w:t>
      </w:r>
      <w:r w:rsidDel="00000000" w:rsidR="00000000" w:rsidRPr="00000000">
        <w:rPr>
          <w:b w:val="1"/>
          <w:bCs w:val="1"/>
          <w:sz w:val="26"/>
          <w:szCs w:val="26"/>
          <w:rtl w:val="0"/>
        </w:rPr>
        <w:t xml:space="preserve"> (Boyle, 2002) </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ogjuixm7qgb7" w:id="21"/>
      <w:bookmarkEnd w:id="21"/>
      <w:r w:rsidDel="00000000" w:rsidR="00000000" w:rsidRPr="00000000">
        <w:rPr>
          <w:b w:val="1"/>
          <w:bCs w:val="1"/>
          <w:color w:val="000000"/>
          <w:sz w:val="26"/>
          <w:szCs w:val="26"/>
          <w:rtl w:val="0"/>
        </w:rPr>
        <w:t xml:space="preserve">Contexto</w:t>
      </w:r>
    </w:p>
    <w:p w:rsidR="00000000" w:rsidDel="00000000" w:rsidP="00000000" w:rsidRDefault="00000000" w:rsidRPr="00000000" w14:paraId="0000009A">
      <w:pPr>
        <w:spacing w:after="240" w:before="240" w:lineRule="auto"/>
        <w:rPr/>
      </w:pPr>
      <w:r w:rsidDel="00000000" w:rsidR="00000000" w:rsidRPr="00000000">
        <w:rPr>
          <w:rtl w:val="0"/>
        </w:rPr>
        <w:t xml:space="preserve">O desenvolvimento de recursos de eLearning de qualidade é caro e trabalhoso. Historicamente, esses recursos eram construídos de forma monolítica  vinculados a um único ambiente virtual de aprendizagem (VLE/MLE) e a uma estrutura curricular específica  o que inviabilizava seu reaproveitamento. Embora os trabalhos de padronização de metadados e empacotamento (IEEE LOM, IMS, SCORM) tenham avançado muito, Boyle argumenta que eles tratam o objeto de aprendizagem </w:t>
      </w:r>
      <w:r w:rsidDel="00000000" w:rsidR="00000000" w:rsidRPr="00000000">
        <w:rPr>
          <w:i w:val="1"/>
          <w:iCs w:val="1"/>
          <w:rtl w:val="0"/>
        </w:rPr>
        <w:t xml:space="preserve">depois</w:t>
      </w:r>
      <w:r w:rsidDel="00000000" w:rsidR="00000000" w:rsidRPr="00000000">
        <w:rPr>
          <w:rtl w:val="0"/>
        </w:rPr>
        <w:t xml:space="preserve"> de criado, sem orientar como ele deve ser </w:t>
      </w:r>
      <w:r w:rsidDel="00000000" w:rsidR="00000000" w:rsidRPr="00000000">
        <w:rPr>
          <w:i w:val="1"/>
          <w:iCs w:val="1"/>
          <w:rtl w:val="0"/>
        </w:rPr>
        <w:t xml:space="preserve">projetado</w:t>
      </w:r>
      <w:r w:rsidDel="00000000" w:rsidR="00000000" w:rsidRPr="00000000">
        <w:rPr>
          <w:rtl w:val="0"/>
        </w:rPr>
        <w:t xml:space="preserve"> desde o início para ser reutilizável.</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f471g5caz38" w:id="22"/>
      <w:bookmarkEnd w:id="22"/>
      <w:r w:rsidDel="00000000" w:rsidR="00000000" w:rsidRPr="00000000">
        <w:rPr>
          <w:b w:val="1"/>
          <w:bCs w:val="1"/>
          <w:color w:val="000000"/>
          <w:sz w:val="26"/>
          <w:szCs w:val="26"/>
          <w:rtl w:val="0"/>
        </w:rPr>
        <w:t xml:space="preserve">Problema</w:t>
      </w:r>
    </w:p>
    <w:p w:rsidR="00000000" w:rsidDel="00000000" w:rsidP="00000000" w:rsidRDefault="00000000" w:rsidRPr="00000000" w14:paraId="0000009D">
      <w:pPr>
        <w:spacing w:after="240" w:before="240" w:lineRule="auto"/>
        <w:rPr>
          <w:b w:val="1"/>
          <w:bCs w:val="1"/>
        </w:rPr>
      </w:pPr>
      <w:r w:rsidDel="00000000" w:rsidR="00000000" w:rsidRPr="00000000">
        <w:rPr>
          <w:rtl w:val="0"/>
        </w:rPr>
        <w:t xml:space="preserve">Os padrões existentes (IEEE, IMS, SCORM) são </w:t>
      </w:r>
      <w:r w:rsidDel="00000000" w:rsidR="00000000" w:rsidRPr="00000000">
        <w:rPr>
          <w:b w:val="1"/>
          <w:bCs w:val="1"/>
          <w:rtl w:val="0"/>
        </w:rPr>
        <w:t xml:space="preserve">pedagogicamente neutros</w:t>
      </w:r>
      <w:r w:rsidDel="00000000" w:rsidR="00000000" w:rsidRPr="00000000">
        <w:rPr>
          <w:rtl w:val="0"/>
        </w:rPr>
        <w:t xml:space="preserve">  não dizem nada sobre como um OA deve ser desenvolvido internamente. Isso significa que objetos mal estruturados podem ser empacotados e catalogados com metadados perfeitos, mas ainda assim serem difíceis ou impossíveis de reutilizar em outros contextos. O problema central é: </w:t>
      </w:r>
      <w:r w:rsidDel="00000000" w:rsidR="00000000" w:rsidRPr="00000000">
        <w:rPr>
          <w:b w:val="1"/>
          <w:bCs w:val="1"/>
          <w:rtl w:val="0"/>
        </w:rPr>
        <w:t xml:space="preserve">como projetar OAs que sejam ao mesmo tempo pedagogicamente ricos e genuinamente reutilizáveis/repropositáveis?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3kcplrg5epge" w:id="23"/>
      <w:bookmarkEnd w:id="23"/>
      <w:r w:rsidDel="00000000" w:rsidR="00000000" w:rsidRPr="00000000">
        <w:rPr>
          <w:b w:val="1"/>
          <w:bCs w:val="1"/>
          <w:color w:val="000000"/>
          <w:sz w:val="26"/>
          <w:szCs w:val="26"/>
          <w:rtl w:val="0"/>
        </w:rPr>
        <w:t xml:space="preserve">Solução</w:t>
      </w:r>
    </w:p>
    <w:p w:rsidR="00000000" w:rsidDel="00000000" w:rsidP="00000000" w:rsidRDefault="00000000" w:rsidRPr="00000000" w14:paraId="000000A0">
      <w:pPr>
        <w:spacing w:after="240" w:before="240" w:lineRule="auto"/>
        <w:rPr/>
      </w:pPr>
      <w:r w:rsidDel="00000000" w:rsidR="00000000" w:rsidRPr="00000000">
        <w:rPr>
          <w:rtl w:val="0"/>
        </w:rPr>
        <w:t xml:space="preserve">Boyle propõe uma síntese entre </w:t>
      </w:r>
      <w:r w:rsidDel="00000000" w:rsidR="00000000" w:rsidRPr="00000000">
        <w:rPr>
          <w:b w:val="1"/>
          <w:bCs w:val="1"/>
          <w:rtl w:val="0"/>
        </w:rPr>
        <w:t xml:space="preserve">princípios da engenharia de software</w:t>
      </w:r>
      <w:r w:rsidDel="00000000" w:rsidR="00000000" w:rsidRPr="00000000">
        <w:rPr>
          <w:rtl w:val="0"/>
        </w:rPr>
        <w:t xml:space="preserve"> e </w:t>
      </w:r>
      <w:r w:rsidDel="00000000" w:rsidR="00000000" w:rsidRPr="00000000">
        <w:rPr>
          <w:b w:val="1"/>
          <w:bCs w:val="1"/>
          <w:rtl w:val="0"/>
        </w:rPr>
        <w:t xml:space="preserve">teoria pedagógica</w:t>
      </w:r>
      <w:r w:rsidDel="00000000" w:rsidR="00000000" w:rsidRPr="00000000">
        <w:rPr>
          <w:rtl w:val="0"/>
        </w:rPr>
        <w:t xml:space="preserve">, resultando em três princípios de design para OAs: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 Coesão</w:t>
      </w:r>
      <w:r w:rsidDel="00000000" w:rsidR="00000000" w:rsidRPr="00000000">
        <w:rPr>
          <w:rtl w:val="0"/>
        </w:rPr>
        <w:t xml:space="preserve">  cada OA deve ter um único objetivo de aprendizagem bem definido. Inspirado no princípio de coesão da engenharia de software (</w:t>
      </w:r>
      <w:r w:rsidDel="00000000" w:rsidR="00000000" w:rsidRPr="00000000">
        <w:rPr>
          <w:i w:val="1"/>
          <w:iCs w:val="1"/>
          <w:rtl w:val="0"/>
        </w:rPr>
        <w:t xml:space="preserve">cada módulo faz uma coisa só</w:t>
      </w:r>
      <w:r w:rsidDel="00000000" w:rsidR="00000000" w:rsidRPr="00000000">
        <w:rPr>
          <w:rtl w:val="0"/>
        </w:rPr>
        <w:t xml:space="preserve">), isso implica, por exemplo, criar um OA separado para cada tipo de laço em Java, em vez de agrupá-los num único recurso.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2. Desacoplamento</w:t>
      </w:r>
      <w:r w:rsidDel="00000000" w:rsidR="00000000" w:rsidRPr="00000000">
        <w:rPr>
          <w:rtl w:val="0"/>
        </w:rPr>
        <w:t xml:space="preserve">  o OA deve ser o mais independente possível, sem referências explícitas a conteúdos de outros objetos. Isso permite movê-lo, reorganizá-lo ou reutilizá-lo sem que perca sentido. Os links para recursos externos devem ser mantidos em uma área separada do conteúdo principal, sem que um faça referência direta ao outro.</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3. Riqueza pedagógica</w:t>
      </w:r>
      <w:r w:rsidDel="00000000" w:rsidR="00000000" w:rsidRPr="00000000">
        <w:rPr>
          <w:rtl w:val="0"/>
        </w:rPr>
        <w:t xml:space="preserve">  coesão e desacoplamento não bastam se o resultado for um OA "pedagogicamente árido". A solução proposta são os </w:t>
      </w:r>
      <w:r w:rsidDel="00000000" w:rsidR="00000000" w:rsidRPr="00000000">
        <w:rPr>
          <w:b w:val="1"/>
          <w:bCs w:val="1"/>
          <w:rtl w:val="0"/>
        </w:rPr>
        <w:t xml:space="preserve">objetos compostos</w:t>
      </w:r>
      <w:r w:rsidDel="00000000" w:rsidR="00000000" w:rsidRPr="00000000">
        <w:rPr>
          <w:rtl w:val="0"/>
        </w:rPr>
        <w:t xml:space="preserve"> (</w:t>
      </w:r>
      <w:r w:rsidDel="00000000" w:rsidR="00000000" w:rsidRPr="00000000">
        <w:rPr>
          <w:i w:val="1"/>
          <w:iCs w:val="1"/>
          <w:rtl w:val="0"/>
        </w:rPr>
        <w:t xml:space="preserve">compound objects</w:t>
      </w:r>
      <w:r w:rsidDel="00000000" w:rsidR="00000000" w:rsidRPr="00000000">
        <w:rPr>
          <w:rtl w:val="0"/>
        </w:rPr>
        <w:t xml:space="preserve">): um núcleo textual independente ligado a expansões opcionais (animações, applets, exemplos interativos), onde cada componente também funciona de forma autônoma. A riqueza vem da composição, não da dependência.</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1r6rglp713km" w:id="24"/>
      <w:bookmarkEnd w:id="24"/>
      <w:r w:rsidDel="00000000" w:rsidR="00000000" w:rsidRPr="00000000">
        <w:rPr>
          <w:b w:val="1"/>
          <w:bCs w:val="1"/>
          <w:color w:val="000000"/>
          <w:sz w:val="26"/>
          <w:szCs w:val="26"/>
          <w:rtl w:val="0"/>
        </w:rPr>
        <w:t xml:space="preserve">Avaliação</w:t>
      </w:r>
    </w:p>
    <w:p w:rsidR="00000000" w:rsidDel="00000000" w:rsidP="00000000" w:rsidRDefault="00000000" w:rsidRPr="00000000" w14:paraId="000000A6">
      <w:pPr>
        <w:spacing w:after="240" w:before="240" w:lineRule="auto"/>
        <w:rPr/>
      </w:pPr>
      <w:r w:rsidDel="00000000" w:rsidR="00000000" w:rsidRPr="00000000">
        <w:rPr>
          <w:rtl w:val="0"/>
        </w:rPr>
        <w:t xml:space="preserve">O artigo adota uma abordagem de </w:t>
      </w:r>
      <w:r w:rsidDel="00000000" w:rsidR="00000000" w:rsidRPr="00000000">
        <w:rPr>
          <w:b w:val="1"/>
          <w:bCs w:val="1"/>
          <w:rtl w:val="0"/>
        </w:rPr>
        <w:t xml:space="preserve">estudo de caso</w:t>
      </w:r>
      <w:r w:rsidDel="00000000" w:rsidR="00000000" w:rsidRPr="00000000">
        <w:rPr>
          <w:rtl w:val="0"/>
        </w:rPr>
        <w:t xml:space="preserve">, ilustrando os princípios com OAs desenvolvidos para ensino de programação em Java na London Metropolitan University, com cerca de 400 estudantes. Não apresenta dados quantitativos de avaliação no momento da publicação  um pesquisador havia sido designado para conduzir essa avaliação posterior. O valor do artigo está, portanto, na </w:t>
      </w:r>
      <w:r w:rsidDel="00000000" w:rsidR="00000000" w:rsidRPr="00000000">
        <w:rPr>
          <w:b w:val="1"/>
          <w:bCs w:val="1"/>
          <w:rtl w:val="0"/>
        </w:rPr>
        <w:t xml:space="preserve">fundamentação teórica e no modelo de design</w:t>
      </w:r>
      <w:r w:rsidDel="00000000" w:rsidR="00000000" w:rsidRPr="00000000">
        <w:rPr>
          <w:rtl w:val="0"/>
        </w:rPr>
        <w:t xml:space="preserve">, não em resultados empíricos já consolidados.</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51l3c6tli3" w:id="25"/>
      <w:bookmarkEnd w:id="25"/>
      <w:r w:rsidDel="00000000" w:rsidR="00000000" w:rsidRPr="00000000">
        <w:rPr>
          <w:b w:val="1"/>
          <w:bCs w:val="1"/>
          <w:color w:val="000000"/>
          <w:sz w:val="26"/>
          <w:szCs w:val="26"/>
          <w:rtl w:val="0"/>
        </w:rPr>
        <w:t xml:space="preserve">Resultados</w:t>
      </w:r>
    </w:p>
    <w:p w:rsidR="00000000" w:rsidDel="00000000" w:rsidP="00000000" w:rsidRDefault="00000000" w:rsidRPr="00000000" w14:paraId="000000A9">
      <w:pPr>
        <w:spacing w:after="240" w:before="240" w:lineRule="auto"/>
        <w:rPr/>
      </w:pPr>
      <w:r w:rsidDel="00000000" w:rsidR="00000000" w:rsidRPr="00000000">
        <w:rPr>
          <w:rtl w:val="0"/>
        </w:rPr>
        <w:t xml:space="preserve">O principal resultado é o próprio </w:t>
      </w:r>
      <w:r w:rsidDel="00000000" w:rsidR="00000000" w:rsidRPr="00000000">
        <w:rPr>
          <w:b w:val="1"/>
          <w:bCs w:val="1"/>
          <w:rtl w:val="0"/>
        </w:rPr>
        <w:t xml:space="preserve">framework de design</w:t>
      </w:r>
      <w:r w:rsidDel="00000000" w:rsidR="00000000" w:rsidRPr="00000000">
        <w:rPr>
          <w:rtl w:val="0"/>
        </w:rPr>
        <w:t xml:space="preserve">: a estrutura de objeto composto, com núcleo textual + coluna de expansões, implementando o padrão de design multimedia de Lyardet et al. (1998). Essa estrutura permite ao tutor local adicionar, remover ou reorganizar expansões sem alterar o núcleo do objeto  e ao estudante percorrer apenas os componentes que precisa. Além disso, o artigo aponta que OAs desacoplados da estrutura curricular permitem que múltiplos currículos sejam construídos a partir do mesmo conjunto de objetos.</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1stbxnvs6ri" w:id="26"/>
      <w:bookmarkEnd w:id="26"/>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0AC">
      <w:pPr>
        <w:spacing w:after="240" w:before="240" w:lineRule="auto"/>
        <w:rPr/>
      </w:pPr>
      <w:r w:rsidDel="00000000" w:rsidR="00000000" w:rsidRPr="00000000">
        <w:rPr>
          <w:rtl w:val="0"/>
        </w:rPr>
        <w:t xml:space="preserve">Este artigo é particularmente relevante para a </w:t>
      </w:r>
      <w:r w:rsidDel="00000000" w:rsidR="00000000" w:rsidRPr="00000000">
        <w:rPr>
          <w:b w:val="1"/>
          <w:bCs w:val="1"/>
          <w:rtl w:val="0"/>
        </w:rPr>
        <w:t xml:space="preserve">fase de design e desenvolvimento</w:t>
      </w:r>
      <w:r w:rsidDel="00000000" w:rsidR="00000000" w:rsidRPr="00000000">
        <w:rPr>
          <w:rtl w:val="0"/>
        </w:rPr>
        <w:t xml:space="preserve"> do meu objeto de aprendizagem, e pode influenciar diretamente decisões que tomarei durante a criação.</w:t>
      </w:r>
    </w:p>
    <w:p w:rsidR="00000000" w:rsidDel="00000000" w:rsidP="00000000" w:rsidRDefault="00000000" w:rsidRPr="00000000" w14:paraId="000000AD">
      <w:pPr>
        <w:spacing w:after="240" w:before="240" w:lineRule="auto"/>
        <w:rPr/>
      </w:pPr>
      <w:r w:rsidDel="00000000" w:rsidR="00000000" w:rsidRPr="00000000">
        <w:rPr>
          <w:rtl w:val="0"/>
        </w:rPr>
        <w:t xml:space="preserve">O princípio da </w:t>
      </w:r>
      <w:r w:rsidDel="00000000" w:rsidR="00000000" w:rsidRPr="00000000">
        <w:rPr>
          <w:b w:val="1"/>
          <w:bCs w:val="1"/>
          <w:rtl w:val="0"/>
        </w:rPr>
        <w:t xml:space="preserve">coesão</w:t>
      </w:r>
      <w:r w:rsidDel="00000000" w:rsidR="00000000" w:rsidRPr="00000000">
        <w:rPr>
          <w:rtl w:val="0"/>
        </w:rPr>
        <w:t xml:space="preserve"> me leva a verificar se o meu OA está tentando cobrir conteúdo demais. Se ele tiver múltiplos objetivos de aprendizagem, pode ser mais estratégico dividi-lo em objetos menores e mais focados, aumentando a chance de que outros professores ou instituições o reutilizem de forma isolada.</w:t>
      </w:r>
    </w:p>
    <w:p w:rsidR="00000000" w:rsidDel="00000000" w:rsidP="00000000" w:rsidRDefault="00000000" w:rsidRPr="00000000" w14:paraId="000000AE">
      <w:pPr>
        <w:spacing w:after="240" w:before="240" w:lineRule="auto"/>
        <w:rPr/>
      </w:pPr>
      <w:r w:rsidDel="00000000" w:rsidR="00000000" w:rsidRPr="00000000">
        <w:rPr>
          <w:rtl w:val="0"/>
        </w:rPr>
        <w:t xml:space="preserve">O princípio do </w:t>
      </w:r>
      <w:r w:rsidDel="00000000" w:rsidR="00000000" w:rsidRPr="00000000">
        <w:rPr>
          <w:b w:val="1"/>
          <w:bCs w:val="1"/>
          <w:rtl w:val="0"/>
        </w:rPr>
        <w:t xml:space="preserve">desacoplamento</w:t>
      </w:r>
      <w:r w:rsidDel="00000000" w:rsidR="00000000" w:rsidRPr="00000000">
        <w:rPr>
          <w:rtl w:val="0"/>
        </w:rPr>
        <w:t xml:space="preserve"> me alerta para evitar referências explícitas a outros materiais do curso dentro do próprio OA  algo que eu poderia fazer inconscientemente ao desenvolver o recurso dentro de um contexto curricular específico. Isso é especialmente importante se meu objetivo for depositar o objeto em um repositório como o MERLOT.</w:t>
      </w:r>
    </w:p>
    <w:p w:rsidR="00000000" w:rsidDel="00000000" w:rsidP="00000000" w:rsidRDefault="00000000" w:rsidRPr="00000000" w14:paraId="000000AF">
      <w:pPr>
        <w:spacing w:after="240" w:before="240" w:lineRule="auto"/>
        <w:rPr/>
      </w:pPr>
      <w:r w:rsidDel="00000000" w:rsidR="00000000" w:rsidRPr="00000000">
        <w:rPr>
          <w:rtl w:val="0"/>
        </w:rPr>
        <w:t xml:space="preserve">A ideia de </w:t>
      </w:r>
      <w:r w:rsidDel="00000000" w:rsidR="00000000" w:rsidRPr="00000000">
        <w:rPr>
          <w:b w:val="1"/>
          <w:bCs w:val="1"/>
          <w:rtl w:val="0"/>
        </w:rPr>
        <w:t xml:space="preserve">objeto composto</w:t>
      </w:r>
      <w:r w:rsidDel="00000000" w:rsidR="00000000" w:rsidRPr="00000000">
        <w:rPr>
          <w:rtl w:val="0"/>
        </w:rPr>
        <w:t xml:space="preserve"> é a mais diretamente aplicável: posso estruturar meu OA com um núcleo conceitual essencial e oferecer expansões opcionais  como um vídeo, uma atividade interativa ou um exemplo adicional  sem que essas expansões sejam obrigatórias para a compreensão do núcleo. Isso torna o objeto mais flexível para diferentes perfis de aprendiz e diferentes contextos de uso.</w:t>
      </w:r>
    </w:p>
    <w:p w:rsidR="00000000" w:rsidDel="00000000" w:rsidP="00000000" w:rsidRDefault="00000000" w:rsidRPr="00000000" w14:paraId="000000B0">
      <w:pPr>
        <w:spacing w:after="240" w:before="240" w:lineRule="auto"/>
        <w:rPr/>
      </w:pPr>
      <w:r w:rsidDel="00000000" w:rsidR="00000000" w:rsidRPr="00000000">
        <w:rPr>
          <w:rtl w:val="0"/>
        </w:rPr>
        <w:t xml:space="preserve">Por fim, posso usar este artigo no meu referencial teórico para </w:t>
      </w:r>
      <w:r w:rsidDel="00000000" w:rsidR="00000000" w:rsidRPr="00000000">
        <w:rPr>
          <w:b w:val="1"/>
          <w:bCs w:val="1"/>
          <w:rtl w:val="0"/>
        </w:rPr>
        <w:t xml:space="preserve">justificar as escolhas de design</w:t>
      </w:r>
      <w:r w:rsidDel="00000000" w:rsidR="00000000" w:rsidRPr="00000000">
        <w:rPr>
          <w:rtl w:val="0"/>
        </w:rPr>
        <w:t xml:space="preserve"> do meu OA, especialmente se quiser argumentar que ele foi desenvolvido com reusabilidade em mente  um dos critérios avaliados pela LORI v1.5 no critério </w:t>
      </w:r>
      <w:r w:rsidDel="00000000" w:rsidR="00000000" w:rsidRPr="00000000">
        <w:rPr>
          <w:i w:val="1"/>
          <w:iCs w:val="1"/>
          <w:rtl w:val="0"/>
        </w:rPr>
        <w:t xml:space="preserve">Reusability</w:t>
      </w:r>
      <w:r w:rsidDel="00000000" w:rsidR="00000000" w:rsidRPr="00000000">
        <w:rPr>
          <w:rtl w:val="0"/>
        </w:rPr>
        <w:t xml:space="preserve">.</w:t>
      </w:r>
    </w:p>
    <w:p w:rsidR="00000000" w:rsidDel="00000000" w:rsidP="00000000" w:rsidRDefault="00000000" w:rsidRPr="00000000" w14:paraId="000000B1">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2">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3">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4">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5">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6">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7">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8">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9">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A">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B">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C">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D">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E">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BF">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0">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1">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2">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3">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4">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5">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6">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7">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C8">
      <w:pPr>
        <w:spacing w:after="240" w:before="240" w:lineRule="auto"/>
        <w:ind w:left="0" w:firstLine="0"/>
        <w:rPr>
          <w:b w:val="1"/>
          <w:bCs w:val="1"/>
          <w:sz w:val="26"/>
          <w:szCs w:val="26"/>
        </w:rPr>
      </w:pPr>
      <w:r w:rsidDel="00000000" w:rsidR="00000000" w:rsidRPr="00000000">
        <w:rPr>
          <w:b w:val="1"/>
          <w:bCs w:val="1"/>
          <w:i w:val="1"/>
          <w:iCs w:val="1"/>
          <w:sz w:val="26"/>
          <w:szCs w:val="26"/>
          <w:rtl w:val="0"/>
        </w:rPr>
        <w:t xml:space="preserve">Connecting Learning Objects to Instructional Design Theory: A Definition, a Metaphor, and a Taxonomy</w:t>
      </w:r>
      <w:r w:rsidDel="00000000" w:rsidR="00000000" w:rsidRPr="00000000">
        <w:rPr>
          <w:b w:val="1"/>
          <w:bCs w:val="1"/>
          <w:sz w:val="26"/>
          <w:szCs w:val="26"/>
          <w:rtl w:val="0"/>
        </w:rPr>
        <w:t xml:space="preserve"> (Wiley, 2000) </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epg3tctkousa" w:id="27"/>
      <w:bookmarkEnd w:id="27"/>
      <w:r w:rsidDel="00000000" w:rsidR="00000000" w:rsidRPr="00000000">
        <w:rPr>
          <w:b w:val="1"/>
          <w:bCs w:val="1"/>
          <w:color w:val="000000"/>
          <w:sz w:val="26"/>
          <w:szCs w:val="26"/>
          <w:rtl w:val="0"/>
        </w:rPr>
        <w:t xml:space="preserve">Contexto</w:t>
      </w:r>
    </w:p>
    <w:p w:rsidR="00000000" w:rsidDel="00000000" w:rsidP="00000000" w:rsidRDefault="00000000" w:rsidRPr="00000000" w14:paraId="000000CB">
      <w:pPr>
        <w:spacing w:after="240" w:before="240" w:lineRule="auto"/>
        <w:rPr/>
      </w:pPr>
      <w:r w:rsidDel="00000000" w:rsidR="00000000" w:rsidRPr="00000000">
        <w:rPr>
          <w:rtl w:val="0"/>
        </w:rPr>
        <w:t xml:space="preserve">No início dos anos 2000, o conceito de objeto de aprendizagem ganhava impulso enorme  grandes organizações como IEEE, IMS, ADL e empresas como Microsoft, Oracle e Apple investiam pesado em padrões técnicos (metadados, empacotamento, interoperabilidade). O mercado de eLearning era projetado para atingir US$ 11,5 bilhões até 2003. Porém, todo esse esforço estava concentrado em questões </w:t>
      </w:r>
      <w:r w:rsidDel="00000000" w:rsidR="00000000" w:rsidRPr="00000000">
        <w:rPr>
          <w:b w:val="1"/>
          <w:bCs w:val="1"/>
          <w:rtl w:val="0"/>
        </w:rPr>
        <w:t xml:space="preserve">técnicas</w:t>
      </w:r>
      <w:r w:rsidDel="00000000" w:rsidR="00000000" w:rsidRPr="00000000">
        <w:rPr>
          <w:rtl w:val="0"/>
        </w:rPr>
        <w:t xml:space="preserve">, quase ignorando completamente a </w:t>
      </w:r>
      <w:r w:rsidDel="00000000" w:rsidR="00000000" w:rsidRPr="00000000">
        <w:rPr>
          <w:b w:val="1"/>
          <w:bCs w:val="1"/>
          <w:rtl w:val="0"/>
        </w:rPr>
        <w:t xml:space="preserve">teoria instrucional</w:t>
      </w:r>
      <w:r w:rsidDel="00000000" w:rsidR="00000000" w:rsidRPr="00000000">
        <w:rPr>
          <w:rtl w:val="0"/>
        </w:rPr>
        <w:t xml:space="preserve">  ou seja, como combinar OAs de forma que o resultado realmente promova aprendizagem.</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j53y15ebiofh" w:id="28"/>
      <w:bookmarkEnd w:id="28"/>
      <w:r w:rsidDel="00000000" w:rsidR="00000000" w:rsidRPr="00000000">
        <w:rPr>
          <w:b w:val="1"/>
          <w:bCs w:val="1"/>
          <w:color w:val="000000"/>
          <w:sz w:val="26"/>
          <w:szCs w:val="26"/>
          <w:rtl w:val="0"/>
        </w:rPr>
        <w:t xml:space="preserve">Problema</w:t>
      </w:r>
    </w:p>
    <w:p w:rsidR="00000000" w:rsidDel="00000000" w:rsidP="00000000" w:rsidRDefault="00000000" w:rsidRPr="00000000" w14:paraId="000000CE">
      <w:pPr>
        <w:spacing w:after="240" w:before="240" w:lineRule="auto"/>
        <w:rPr/>
      </w:pPr>
      <w:r w:rsidDel="00000000" w:rsidR="00000000" w:rsidRPr="00000000">
        <w:rPr>
          <w:rtl w:val="0"/>
        </w:rPr>
        <w:t xml:space="preserve">Wiley identifica três problemas centrais e interligados: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 Confusão conceitual</w:t>
      </w:r>
      <w:r w:rsidDel="00000000" w:rsidR="00000000" w:rsidRPr="00000000">
        <w:rPr>
          <w:rtl w:val="0"/>
        </w:rPr>
        <w:t xml:space="preserve">  a definição do IEEE é tão ampla que inclui praticamente qualquer coisa ("qualquer entidade, digital ou não-digital, que possa ser referenciada durante aprendizagem apoiada por tecnologia"), tornando-se inútil na prática.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2. Ausência de teoria instrucional</w:t>
      </w:r>
      <w:r w:rsidDel="00000000" w:rsidR="00000000" w:rsidRPr="00000000">
        <w:rPr>
          <w:rtl w:val="0"/>
        </w:rPr>
        <w:t xml:space="preserve">  os padrões técnicos se declaram "pedagogicamente neutros", mas na prática são "pedagogicamente agnósticos": não orientam como combinar OAs de forma instrucionalmente válida. A questão do sequenciamento (em que ordem apresentar os objetos) simplesmente não havia sido considerada.</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3. A metáfora LEGO é enganosa</w:t>
      </w:r>
      <w:r w:rsidDel="00000000" w:rsidR="00000000" w:rsidRPr="00000000">
        <w:rPr>
          <w:rtl w:val="0"/>
        </w:rPr>
        <w:t xml:space="preserve">  ao comparar OAs a blocos LEGO, o campo implicitamente assumia que qualquer objeto é combinável com qualquer outro, em qualquer ordem, por qualquer pessoa sem treinamento  o que é falso e contraproducente.</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7gjoir58gw4t" w:id="29"/>
      <w:bookmarkEnd w:id="29"/>
      <w:r w:rsidDel="00000000" w:rsidR="00000000" w:rsidRPr="00000000">
        <w:rPr>
          <w:b w:val="1"/>
          <w:bCs w:val="1"/>
          <w:color w:val="000000"/>
          <w:sz w:val="26"/>
          <w:szCs w:val="26"/>
          <w:rtl w:val="0"/>
        </w:rPr>
        <w:t xml:space="preserve">Solução</w:t>
      </w:r>
    </w:p>
    <w:p w:rsidR="00000000" w:rsidDel="00000000" w:rsidP="00000000" w:rsidRDefault="00000000" w:rsidRPr="00000000" w14:paraId="000000D4">
      <w:pPr>
        <w:spacing w:after="240" w:before="240" w:lineRule="auto"/>
        <w:rPr/>
      </w:pPr>
      <w:r w:rsidDel="00000000" w:rsidR="00000000" w:rsidRPr="00000000">
        <w:rPr>
          <w:rtl w:val="0"/>
        </w:rPr>
        <w:t xml:space="preserve">Wiley propõe três contribuições complementares: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1. Nova definição de OA</w:t>
      </w:r>
      <w:r w:rsidDel="00000000" w:rsidR="00000000" w:rsidRPr="00000000">
        <w:rPr>
          <w:rtl w:val="0"/>
        </w:rPr>
        <w:t xml:space="preserve">  "qualquer recurso digital que pode ser reutilizado para apoiar a aprendizagem." Mais restrita e útil que a do IEEE: exclui recursos não-digitais, não-reutilizáveis e sem propósito instrucional explícito.</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2. Nova metáfora: o átomo</w:t>
      </w:r>
      <w:r w:rsidDel="00000000" w:rsidR="00000000" w:rsidRPr="00000000">
        <w:rPr>
          <w:rtl w:val="0"/>
        </w:rPr>
        <w:t xml:space="preserve">  em substituição ao LEGO. O átomo comunica que: nem todo objeto se combina com qualquer outro; as combinações seguem estruturas internas definidas; e algum treinamento é necessário para montar estruturas úteis. Isso abre espaço para uma visão mais rica e realista dos OAs.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3. Taxonomia de cinco tipos de OAs</w:t>
      </w:r>
      <w:r w:rsidDel="00000000" w:rsidR="00000000" w:rsidRPr="00000000">
        <w:rPr>
          <w:rtl w:val="0"/>
        </w:rPr>
        <w:t xml:space="preserve">, organizados por grau crescente de complexidade e lógica interna:</w:t>
      </w:r>
    </w:p>
    <w:tbl>
      <w:tblPr>
        <w:tblStyle w:val="Table2"/>
        <w:tblW w:w="10785.0" w:type="dxa"/>
        <w:jc w:val="left"/>
        <w:tblInd w:w="-780.0" w:type="dxa"/>
        <w:tblLayout w:type="fixed"/>
        <w:tblLook w:val="0600"/>
      </w:tblPr>
      <w:tblGrid>
        <w:gridCol w:w="2880"/>
        <w:gridCol w:w="4410"/>
        <w:gridCol w:w="1770"/>
        <w:gridCol w:w="1725"/>
        <w:tblGridChange w:id="0">
          <w:tblGrid>
            <w:gridCol w:w="2880"/>
            <w:gridCol w:w="4410"/>
            <w:gridCol w:w="1770"/>
            <w:gridCol w:w="172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sz w:val="20"/>
                <w:szCs w:val="20"/>
              </w:rPr>
            </w:pPr>
            <w:r w:rsidDel="00000000" w:rsidR="00000000" w:rsidRPr="00000000">
              <w:rPr>
                <w:b w:val="1"/>
                <w:bCs w:val="1"/>
                <w:sz w:val="20"/>
                <w:szCs w:val="20"/>
                <w:rtl w:val="0"/>
              </w:rPr>
              <w:t xml:space="preserve">Reuso inter-contextual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sz w:val="20"/>
                <w:szCs w:val="20"/>
              </w:rPr>
            </w:pPr>
            <w:r w:rsidDel="00000000" w:rsidR="00000000" w:rsidRPr="00000000">
              <w:rPr>
                <w:b w:val="1"/>
                <w:bCs w:val="1"/>
                <w:sz w:val="20"/>
                <w:szCs w:val="20"/>
                <w:rtl w:val="0"/>
              </w:rPr>
              <w:t xml:space="preserve">Reuso intra-contextual</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sz w:val="20"/>
                <w:szCs w:val="20"/>
              </w:rPr>
            </w:pPr>
            <w:r w:rsidDel="00000000" w:rsidR="00000000" w:rsidRPr="00000000">
              <w:rPr>
                <w:b w:val="1"/>
                <w:bCs w:val="1"/>
                <w:sz w:val="20"/>
                <w:szCs w:val="20"/>
                <w:rtl w:val="0"/>
              </w:rPr>
              <w:t xml:space="preserve">Fundamental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Recurso digital único e simples (ex: imagem JPEG)</w:t>
            </w:r>
          </w:p>
        </w:tc>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Médio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sz w:val="20"/>
                <w:szCs w:val="20"/>
              </w:rPr>
            </w:pPr>
            <w:r w:rsidDel="00000000" w:rsidR="00000000" w:rsidRPr="00000000">
              <w:rPr>
                <w:b w:val="1"/>
                <w:bCs w:val="1"/>
                <w:sz w:val="20"/>
                <w:szCs w:val="20"/>
                <w:rtl w:val="0"/>
              </w:rPr>
              <w:t xml:space="preserve">Combined-closed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Combinação fixa de elementos (ex: vídeo com áudio)</w:t>
            </w:r>
          </w:p>
        </w:tc>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Médio</w:t>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Alto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20"/>
                <w:szCs w:val="20"/>
              </w:rPr>
            </w:pPr>
            <w:r w:rsidDel="00000000" w:rsidR="00000000" w:rsidRPr="00000000">
              <w:rPr>
                <w:b w:val="1"/>
                <w:bCs w:val="1"/>
                <w:sz w:val="20"/>
                <w:szCs w:val="20"/>
                <w:rtl w:val="0"/>
              </w:rPr>
              <w:t xml:space="preserve">Combined-open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Combinação dinâmica em tempo real (ex: página web)</w:t>
            </w:r>
          </w:p>
        </w:tc>
        <w:tc>
          <w:tcP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Alto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20"/>
                <w:szCs w:val="20"/>
              </w:rPr>
            </w:pPr>
            <w:r w:rsidDel="00000000" w:rsidR="00000000" w:rsidRPr="00000000">
              <w:rPr>
                <w:b w:val="1"/>
                <w:bCs w:val="1"/>
                <w:sz w:val="20"/>
                <w:szCs w:val="20"/>
                <w:rtl w:val="0"/>
              </w:rPr>
              <w:t xml:space="preserve">Generative-presentation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Lógica que gera/combina apresentações (ex: applet Java)</w:t>
            </w:r>
          </w:p>
        </w:tc>
        <w:tc>
          <w:tcP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Alto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b w:val="1"/>
                <w:bCs w:val="1"/>
                <w:rtl w:val="0"/>
              </w:rPr>
              <w:t xml:space="preserve">Generative-instructional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Lógica que instrui E avalia (ex: transaction shells de Merrill)</w:t>
            </w:r>
          </w:p>
        </w:tc>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Alto</w:t>
            </w:r>
          </w:p>
        </w:tc>
      </w:tr>
    </w:tbl>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6wmlfekvg" w:id="30"/>
      <w:bookmarkEnd w:id="30"/>
      <w:r w:rsidDel="00000000" w:rsidR="00000000" w:rsidRPr="00000000">
        <w:rPr>
          <w:b w:val="1"/>
          <w:bCs w:val="1"/>
          <w:color w:val="000000"/>
          <w:sz w:val="26"/>
          <w:szCs w:val="26"/>
          <w:rtl w:val="0"/>
        </w:rPr>
        <w:t xml:space="preserve">Avaliação</w:t>
      </w:r>
    </w:p>
    <w:p w:rsidR="00000000" w:rsidDel="00000000" w:rsidP="00000000" w:rsidRDefault="00000000" w:rsidRPr="00000000" w14:paraId="000000F2">
      <w:pPr>
        <w:spacing w:after="240" w:before="240" w:lineRule="auto"/>
        <w:rPr/>
      </w:pPr>
      <w:r w:rsidDel="00000000" w:rsidR="00000000" w:rsidRPr="00000000">
        <w:rPr>
          <w:rtl w:val="0"/>
        </w:rPr>
        <w:t xml:space="preserve">O artigo é </w:t>
      </w:r>
      <w:r w:rsidDel="00000000" w:rsidR="00000000" w:rsidRPr="00000000">
        <w:rPr>
          <w:b w:val="1"/>
          <w:bCs w:val="1"/>
          <w:rtl w:val="0"/>
        </w:rPr>
        <w:t xml:space="preserve">teórico e propositivo</w:t>
      </w:r>
      <w:r w:rsidDel="00000000" w:rsidR="00000000" w:rsidRPr="00000000">
        <w:rPr>
          <w:rtl w:val="0"/>
        </w:rPr>
        <w:t xml:space="preserve">, sem estudo empírico. Seu valor está na capacidade de síntese e na articulação de um framework conceitual que conecta OAs à teoria instrucional. Wiley dialoga criticamente com os principais autores da área (Merrill, Reigeluth, van Merriënboer) e propõe uma ponte entre o trabalho técnico dos padrões e as necessidades pedagógicas reais. A taxonomia é apresentada como ponto de partida para pesquisa futura, não como produto final.</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ipgvvqbyli0c" w:id="31"/>
      <w:bookmarkEnd w:id="31"/>
      <w:r w:rsidDel="00000000" w:rsidR="00000000" w:rsidRPr="00000000">
        <w:rPr>
          <w:b w:val="1"/>
          <w:bCs w:val="1"/>
          <w:color w:val="000000"/>
          <w:sz w:val="26"/>
          <w:szCs w:val="26"/>
          <w:rtl w:val="0"/>
        </w:rPr>
        <w:t xml:space="preserve">Resultados</w:t>
      </w:r>
    </w:p>
    <w:p w:rsidR="00000000" w:rsidDel="00000000" w:rsidP="00000000" w:rsidRDefault="00000000" w:rsidRPr="00000000" w14:paraId="000000F5">
      <w:pPr>
        <w:spacing w:after="240" w:before="240" w:lineRule="auto"/>
        <w:rPr/>
      </w:pPr>
      <w:r w:rsidDel="00000000" w:rsidR="00000000" w:rsidRPr="00000000">
        <w:rPr>
          <w:rtl w:val="0"/>
        </w:rPr>
        <w:t xml:space="preserve">O principal resultado é o </w:t>
      </w:r>
      <w:r w:rsidDel="00000000" w:rsidR="00000000" w:rsidRPr="00000000">
        <w:rPr>
          <w:b w:val="1"/>
          <w:bCs w:val="1"/>
          <w:rtl w:val="0"/>
        </w:rPr>
        <w:t xml:space="preserve">framework tripartite</w:t>
      </w:r>
      <w:r w:rsidDel="00000000" w:rsidR="00000000" w:rsidRPr="00000000">
        <w:rPr>
          <w:rtl w:val="0"/>
        </w:rPr>
        <w:t xml:space="preserve">: definição + metáfora + taxonomia. Juntos, eles oferecem uma base comum para que qualquer designer instrucional conecte a teoria de sua escolha ao universo dos OAs, criando o que Wiley chama de "material de ligação prescritivo" (</w:t>
      </w:r>
      <w:r w:rsidDel="00000000" w:rsidR="00000000" w:rsidRPr="00000000">
        <w:rPr>
          <w:i w:val="1"/>
          <w:iCs w:val="1"/>
          <w:rtl w:val="0"/>
        </w:rPr>
        <w:t xml:space="preserve">prescriptive linking material</w:t>
      </w:r>
      <w:r w:rsidDel="00000000" w:rsidR="00000000" w:rsidRPr="00000000">
        <w:rPr>
          <w:rtl w:val="0"/>
        </w:rPr>
        <w:t xml:space="preserve">)  sem precisar reinventar uma taxonomia própria a cada novo projeto.</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afcngf44ef6r" w:id="32"/>
      <w:bookmarkEnd w:id="32"/>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0F8">
      <w:pPr>
        <w:spacing w:after="240" w:before="240" w:lineRule="auto"/>
        <w:rPr/>
      </w:pPr>
      <w:r w:rsidDel="00000000" w:rsidR="00000000" w:rsidRPr="00000000">
        <w:rPr>
          <w:rtl w:val="0"/>
        </w:rPr>
        <w:t xml:space="preserve">Este artigo é, provavelmente, a referência </w:t>
      </w:r>
      <w:r w:rsidDel="00000000" w:rsidR="00000000" w:rsidRPr="00000000">
        <w:rPr>
          <w:b w:val="1"/>
          <w:bCs w:val="1"/>
          <w:rtl w:val="0"/>
        </w:rPr>
        <w:t xml:space="preserve">mais fundamental</w:t>
      </w:r>
      <w:r w:rsidDel="00000000" w:rsidR="00000000" w:rsidRPr="00000000">
        <w:rPr>
          <w:rtl w:val="0"/>
        </w:rPr>
        <w:t xml:space="preserve"> entre os quatro lidos até agora, e seu impacto no meu trabalho se dá em múltiplos níveis.</w:t>
      </w:r>
    </w:p>
    <w:p w:rsidR="00000000" w:rsidDel="00000000" w:rsidP="00000000" w:rsidRDefault="00000000" w:rsidRPr="00000000" w14:paraId="000000F9">
      <w:pPr>
        <w:spacing w:after="240" w:before="240" w:lineRule="auto"/>
        <w:rPr/>
      </w:pPr>
      <w:r w:rsidDel="00000000" w:rsidR="00000000" w:rsidRPr="00000000">
        <w:rPr>
          <w:rtl w:val="0"/>
        </w:rPr>
        <w:t xml:space="preserve">Primeiro, a </w:t>
      </w:r>
      <w:r w:rsidDel="00000000" w:rsidR="00000000" w:rsidRPr="00000000">
        <w:rPr>
          <w:b w:val="1"/>
          <w:bCs w:val="1"/>
          <w:rtl w:val="0"/>
        </w:rPr>
        <w:t xml:space="preserve">definição de Wiley</w:t>
      </w:r>
      <w:r w:rsidDel="00000000" w:rsidR="00000000" w:rsidRPr="00000000">
        <w:rPr>
          <w:rtl w:val="0"/>
        </w:rPr>
        <w:t xml:space="preserve">  "qualquer recurso digital reutilizável para apoiar a aprendizagem"  é a que usarei como base conceitual no meu referencial teórico. É mais operacional que a do IEEE e amplamente citada na literatura.</w:t>
      </w:r>
    </w:p>
    <w:p w:rsidR="00000000" w:rsidDel="00000000" w:rsidP="00000000" w:rsidRDefault="00000000" w:rsidRPr="00000000" w14:paraId="000000FA">
      <w:pPr>
        <w:spacing w:after="240" w:before="240" w:lineRule="auto"/>
        <w:rPr/>
      </w:pPr>
      <w:r w:rsidDel="00000000" w:rsidR="00000000" w:rsidRPr="00000000">
        <w:rPr>
          <w:rtl w:val="0"/>
        </w:rPr>
        <w:t xml:space="preserve">Segundo, a </w:t>
      </w:r>
      <w:r w:rsidDel="00000000" w:rsidR="00000000" w:rsidRPr="00000000">
        <w:rPr>
          <w:b w:val="1"/>
          <w:bCs w:val="1"/>
          <w:rtl w:val="0"/>
        </w:rPr>
        <w:t xml:space="preserve">taxonomia dos cinco tipos</w:t>
      </w:r>
      <w:r w:rsidDel="00000000" w:rsidR="00000000" w:rsidRPr="00000000">
        <w:rPr>
          <w:rtl w:val="0"/>
        </w:rPr>
        <w:t xml:space="preserve"> me ajuda a classificar e caracterizar o meu próprio OA. Se ele é um recurso expositivo simples, trata-se de um </w:t>
      </w:r>
      <w:r w:rsidDel="00000000" w:rsidR="00000000" w:rsidRPr="00000000">
        <w:rPr>
          <w:i w:val="1"/>
          <w:iCs w:val="1"/>
          <w:rtl w:val="0"/>
        </w:rPr>
        <w:t xml:space="preserve">fundamental</w:t>
      </w:r>
      <w:r w:rsidDel="00000000" w:rsidR="00000000" w:rsidRPr="00000000">
        <w:rPr>
          <w:rtl w:val="0"/>
        </w:rPr>
        <w:t xml:space="preserve"> ou </w:t>
      </w:r>
      <w:r w:rsidDel="00000000" w:rsidR="00000000" w:rsidRPr="00000000">
        <w:rPr>
          <w:i w:val="1"/>
          <w:iCs w:val="1"/>
          <w:rtl w:val="0"/>
        </w:rPr>
        <w:t xml:space="preserve">combined-closed</w:t>
      </w:r>
      <w:r w:rsidDel="00000000" w:rsidR="00000000" w:rsidRPr="00000000">
        <w:rPr>
          <w:rtl w:val="0"/>
        </w:rPr>
        <w:t xml:space="preserve">. Se combina texto, mídia e atividades interativas de forma dinâmica, aproxima-se de um </w:t>
      </w:r>
      <w:r w:rsidDel="00000000" w:rsidR="00000000" w:rsidRPr="00000000">
        <w:rPr>
          <w:i w:val="1"/>
          <w:iCs w:val="1"/>
          <w:rtl w:val="0"/>
        </w:rPr>
        <w:t xml:space="preserve">combined-open</w:t>
      </w:r>
      <w:r w:rsidDel="00000000" w:rsidR="00000000" w:rsidRPr="00000000">
        <w:rPr>
          <w:rtl w:val="0"/>
        </w:rPr>
        <w:t xml:space="preserve"> ou até </w:t>
      </w:r>
      <w:r w:rsidDel="00000000" w:rsidR="00000000" w:rsidRPr="00000000">
        <w:rPr>
          <w:i w:val="1"/>
          <w:iCs w:val="1"/>
          <w:rtl w:val="0"/>
        </w:rPr>
        <w:t xml:space="preserve">generative-presentation</w:t>
      </w:r>
      <w:r w:rsidDel="00000000" w:rsidR="00000000" w:rsidRPr="00000000">
        <w:rPr>
          <w:rtl w:val="0"/>
        </w:rPr>
        <w:t xml:space="preserve">. Nomear esse tipo no artigo demonstra domínio do referencial e clareza sobre o que foi produzido.</w:t>
      </w:r>
    </w:p>
    <w:p w:rsidR="00000000" w:rsidDel="00000000" w:rsidP="00000000" w:rsidRDefault="00000000" w:rsidRPr="00000000" w14:paraId="000000FB">
      <w:pPr>
        <w:spacing w:after="240" w:before="240" w:lineRule="auto"/>
        <w:rPr/>
      </w:pPr>
      <w:r w:rsidDel="00000000" w:rsidR="00000000" w:rsidRPr="00000000">
        <w:rPr>
          <w:rtl w:val="0"/>
        </w:rPr>
        <w:t xml:space="preserve">Terceiro, a </w:t>
      </w:r>
      <w:r w:rsidDel="00000000" w:rsidR="00000000" w:rsidRPr="00000000">
        <w:rPr>
          <w:b w:val="1"/>
          <w:bCs w:val="1"/>
          <w:rtl w:val="0"/>
        </w:rPr>
        <w:t xml:space="preserve">crítica à metáfora LEGO</w:t>
      </w:r>
      <w:r w:rsidDel="00000000" w:rsidR="00000000" w:rsidRPr="00000000">
        <w:rPr>
          <w:rtl w:val="0"/>
        </w:rPr>
        <w:t xml:space="preserve"> me oferece um argumento teórico importante: ao desenvolver meu OA, não posso pressupor que ele será simplesmente "encaixável" em qualquer contexto sem cuidado de design. Preciso pensar nas condições em que ele se combina bem com outros recursos  o que se conecta diretamente ao princípio de desacoplamento de Boyle (terceiro artigo analisado).</w:t>
      </w:r>
    </w:p>
    <w:p w:rsidR="00000000" w:rsidDel="00000000" w:rsidP="00000000" w:rsidRDefault="00000000" w:rsidRPr="00000000" w14:paraId="000000FC">
      <w:pPr>
        <w:spacing w:after="240" w:before="240" w:lineRule="auto"/>
        <w:rPr/>
      </w:pPr>
      <w:r w:rsidDel="00000000" w:rsidR="00000000" w:rsidRPr="00000000">
        <w:rPr>
          <w:rtl w:val="0"/>
        </w:rPr>
        <w:t xml:space="preserve">Por fim, a defesa de Wiley de que </w:t>
      </w:r>
      <w:r w:rsidDel="00000000" w:rsidR="00000000" w:rsidRPr="00000000">
        <w:rPr>
          <w:b w:val="1"/>
          <w:bCs w:val="1"/>
          <w:rtl w:val="0"/>
        </w:rPr>
        <w:t xml:space="preserve">teoria instrucional deve guiar o uso de OAs</w:t>
      </w:r>
      <w:r w:rsidDel="00000000" w:rsidR="00000000" w:rsidRPr="00000000">
        <w:rPr>
          <w:rtl w:val="0"/>
        </w:rPr>
        <w:t xml:space="preserve"> me fornece justificativa para explicitar, no meu artigo, quais princípios pedagógicos orientaram o desenvolvimento do objeto  e não apenas suas características técnicas.</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i w:val="1"/>
          <w:iCs w:val="1"/>
          <w:sz w:val="26"/>
          <w:szCs w:val="26"/>
        </w:rPr>
      </w:pPr>
      <w:bookmarkStart w:colFirst="0" w:colLast="0" w:name="_c0m9ijgtb49s" w:id="33"/>
      <w:bookmarkEnd w:id="33"/>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26"/>
          <w:szCs w:val="26"/>
        </w:rPr>
      </w:pPr>
      <w:bookmarkStart w:colFirst="0" w:colLast="0" w:name="_9719q7a6cy2z" w:id="34"/>
      <w:bookmarkEnd w:id="34"/>
      <w:r w:rsidDel="00000000" w:rsidR="00000000" w:rsidRPr="00000000">
        <w:rPr>
          <w:b w:val="1"/>
          <w:bCs w:val="1"/>
          <w:i w:val="1"/>
          <w:iCs w:val="1"/>
          <w:sz w:val="26"/>
          <w:szCs w:val="26"/>
          <w:rtl w:val="0"/>
        </w:rPr>
        <w:t xml:space="preserve">Example-Based Learning in Software Engineering Education: a Systematic Mapping Study</w:t>
      </w:r>
      <w:r w:rsidDel="00000000" w:rsidR="00000000" w:rsidRPr="00000000">
        <w:rPr>
          <w:b w:val="1"/>
          <w:bCs w:val="1"/>
          <w:sz w:val="26"/>
          <w:szCs w:val="26"/>
          <w:rtl w:val="0"/>
        </w:rPr>
        <w:t xml:space="preserve"> (Bonetti, Silva &amp; Colanzi, 2025)</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ngr1nqigkh5o" w:id="35"/>
      <w:bookmarkEnd w:id="35"/>
      <w:r w:rsidDel="00000000" w:rsidR="00000000" w:rsidRPr="00000000">
        <w:rPr>
          <w:b w:val="1"/>
          <w:bCs w:val="1"/>
          <w:color w:val="000000"/>
          <w:sz w:val="26"/>
          <w:szCs w:val="26"/>
          <w:rtl w:val="0"/>
        </w:rPr>
        <w:t xml:space="preserve">Contexto</w:t>
      </w:r>
    </w:p>
    <w:p w:rsidR="00000000" w:rsidDel="00000000" w:rsidP="00000000" w:rsidRDefault="00000000" w:rsidRPr="00000000" w14:paraId="0000010E">
      <w:pPr>
        <w:spacing w:after="240" w:before="240" w:lineRule="auto"/>
        <w:rPr/>
      </w:pPr>
      <w:r w:rsidDel="00000000" w:rsidR="00000000" w:rsidRPr="00000000">
        <w:rPr>
          <w:rtl w:val="0"/>
        </w:rPr>
        <w:t xml:space="preserve">O ensino de Engenharia de Software (ES) é um desafio para as universidades, que ainda adotam majoritariamente métodos tradicionais centrados em aulas expositivas, deixando o estudante como agente passivo do aprendizado. Metodologias ativas surgem como alternativa, e entre elas a </w:t>
      </w:r>
      <w:r w:rsidDel="00000000" w:rsidR="00000000" w:rsidRPr="00000000">
        <w:rPr>
          <w:b w:val="1"/>
          <w:bCs w:val="1"/>
          <w:rtl w:val="0"/>
        </w:rPr>
        <w:t xml:space="preserve">Aprendizagem Baseada em Exemplos</w:t>
      </w:r>
      <w:r w:rsidDel="00000000" w:rsidR="00000000" w:rsidRPr="00000000">
        <w:rPr>
          <w:rtl w:val="0"/>
        </w:rPr>
        <w:t xml:space="preserve"> (Example-Based Learning – EBL) tem se mostrado promissora. A EBL demonstra como executar uma tarefa para que o aluno aprenda por observação, com raízes na Teoria da Carga Cognitiva (Sweller) e na Teoria Social Cognitiva (Bandura).</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3u9cwwajc6cz" w:id="36"/>
      <w:bookmarkEnd w:id="36"/>
      <w:r w:rsidDel="00000000" w:rsidR="00000000" w:rsidRPr="00000000">
        <w:rPr>
          <w:b w:val="1"/>
          <w:bCs w:val="1"/>
          <w:color w:val="000000"/>
          <w:sz w:val="26"/>
          <w:szCs w:val="26"/>
          <w:rtl w:val="0"/>
        </w:rPr>
        <w:t xml:space="preserve">Problema</w:t>
      </w:r>
    </w:p>
    <w:p w:rsidR="00000000" w:rsidDel="00000000" w:rsidP="00000000" w:rsidRDefault="00000000" w:rsidRPr="00000000" w14:paraId="00000111">
      <w:pPr>
        <w:spacing w:after="240" w:before="240" w:lineRule="auto"/>
        <w:rPr/>
      </w:pPr>
      <w:r w:rsidDel="00000000" w:rsidR="00000000" w:rsidRPr="00000000">
        <w:rPr>
          <w:rtl w:val="0"/>
        </w:rPr>
        <w:t xml:space="preserve">Embora vários pesquisadores tenham relatado benefícios do uso de exemplos no ensino de ES: aumento de motivação, melhores resultados, melhor interpretação de conceitos: faltava uma </w:t>
      </w:r>
      <w:r w:rsidDel="00000000" w:rsidR="00000000" w:rsidRPr="00000000">
        <w:rPr>
          <w:b w:val="1"/>
          <w:bCs w:val="1"/>
          <w:rtl w:val="0"/>
        </w:rPr>
        <w:t xml:space="preserve">síntese consolidada</w:t>
      </w:r>
      <w:r w:rsidDel="00000000" w:rsidR="00000000" w:rsidRPr="00000000">
        <w:rPr>
          <w:rtl w:val="0"/>
        </w:rPr>
        <w:t xml:space="preserve"> de como instrutores efetivamente empregam a EBL no contexto específico de ES. Não havia um panorama claro sobre tipos de exemplos, conteúdos ensinados, artefatos de apoio, benefícios e dificuldades.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p2xihf418im3" w:id="37"/>
      <w:bookmarkEnd w:id="37"/>
      <w:r w:rsidDel="00000000" w:rsidR="00000000" w:rsidRPr="00000000">
        <w:rPr>
          <w:b w:val="1"/>
          <w:bCs w:val="1"/>
          <w:color w:val="000000"/>
          <w:sz w:val="26"/>
          <w:szCs w:val="26"/>
          <w:rtl w:val="0"/>
        </w:rPr>
        <w:t xml:space="preserve">Solução / Método</w:t>
      </w:r>
    </w:p>
    <w:p w:rsidR="00000000" w:rsidDel="00000000" w:rsidP="00000000" w:rsidRDefault="00000000" w:rsidRPr="00000000" w14:paraId="00000114">
      <w:pPr>
        <w:spacing w:after="240" w:before="240" w:lineRule="auto"/>
        <w:rPr/>
      </w:pPr>
      <w:r w:rsidDel="00000000" w:rsidR="00000000" w:rsidRPr="00000000">
        <w:rPr>
          <w:rtl w:val="0"/>
        </w:rPr>
        <w:t xml:space="preserve">Os autores conduziram um </w:t>
      </w:r>
      <w:r w:rsidDel="00000000" w:rsidR="00000000" w:rsidRPr="00000000">
        <w:rPr>
          <w:b w:val="1"/>
          <w:bCs w:val="1"/>
          <w:rtl w:val="0"/>
        </w:rPr>
        <w:t xml:space="preserve">Mapeamento Sistemático da Literatura</w:t>
      </w:r>
      <w:r w:rsidDel="00000000" w:rsidR="00000000" w:rsidRPr="00000000">
        <w:rPr>
          <w:rtl w:val="0"/>
        </w:rPr>
        <w:t xml:space="preserve"> (SMS), seguindo as diretrizes de Kitchenham &amp; Charters (2007), organizado em três fases (planejamento, execução, apresentação). Definiram </w:t>
      </w:r>
      <w:r w:rsidDel="00000000" w:rsidR="00000000" w:rsidRPr="00000000">
        <w:rPr>
          <w:b w:val="1"/>
          <w:bCs w:val="1"/>
          <w:rtl w:val="0"/>
        </w:rPr>
        <w:t xml:space="preserve">seis questões de pesquisa</w:t>
      </w:r>
      <w:r w:rsidDel="00000000" w:rsidR="00000000" w:rsidRPr="00000000">
        <w:rPr>
          <w:rtl w:val="0"/>
        </w:rPr>
        <w:t xml:space="preserve"> (RQ1 a RQ6) cobrindo tipos de exemplos, conteúdos, artefatos, tipos de estudo, benefícios e dificuldades.</w:t>
      </w:r>
    </w:p>
    <w:p w:rsidR="00000000" w:rsidDel="00000000" w:rsidP="00000000" w:rsidRDefault="00000000" w:rsidRPr="00000000" w14:paraId="00000115">
      <w:pPr>
        <w:spacing w:after="240" w:before="240" w:lineRule="auto"/>
        <w:rPr/>
      </w:pPr>
      <w:r w:rsidDel="00000000" w:rsidR="00000000" w:rsidRPr="00000000">
        <w:rPr>
          <w:rtl w:val="0"/>
        </w:rPr>
        <w:t xml:space="preserve">A busca em quatro bases (ACM, IEEE Xplore, Scopus, Springer) retornou 814 trabalhos, filtrados em três etapas até chegar a </w:t>
      </w:r>
      <w:r w:rsidDel="00000000" w:rsidR="00000000" w:rsidRPr="00000000">
        <w:rPr>
          <w:b w:val="1"/>
          <w:bCs w:val="1"/>
          <w:rtl w:val="0"/>
        </w:rPr>
        <w:t xml:space="preserve">30 estudos selecionados</w:t>
      </w:r>
      <w:r w:rsidDel="00000000" w:rsidR="00000000" w:rsidRPr="00000000">
        <w:rPr>
          <w:rtl w:val="0"/>
        </w:rPr>
        <w:t xml:space="preserve"> (publicados entre 1998 e 2023). A análise combinou abordagem descritiva/classificatória (RQ1-3), a taxonomia de Unterkalmsteiner et al. para tipos de estudo (RQ4), e codificação aberta de Strauss &amp; Corbin para benefícios e dificuldades (RQ5-6).</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mvxb1cp7uohw" w:id="38"/>
      <w:bookmarkEnd w:id="38"/>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kfwddtgrid0a" w:id="39"/>
      <w:bookmarkEnd w:id="39"/>
      <w:r w:rsidDel="00000000" w:rsidR="00000000" w:rsidRPr="00000000">
        <w:rPr>
          <w:b w:val="1"/>
          <w:bCs w:val="1"/>
          <w:color w:val="000000"/>
          <w:sz w:val="26"/>
          <w:szCs w:val="26"/>
          <w:rtl w:val="0"/>
        </w:rPr>
        <w:t xml:space="preserve">Tipos de Exemplos (referencial teórico)</w:t>
      </w:r>
    </w:p>
    <w:p w:rsidR="00000000" w:rsidDel="00000000" w:rsidP="00000000" w:rsidRDefault="00000000" w:rsidRPr="00000000" w14:paraId="0000011A">
      <w:pPr>
        <w:spacing w:after="240" w:before="240" w:lineRule="auto"/>
        <w:rPr/>
      </w:pPr>
      <w:r w:rsidDel="00000000" w:rsidR="00000000" w:rsidRPr="00000000">
        <w:rPr>
          <w:rtl w:val="0"/>
        </w:rPr>
        <w:t xml:space="preserve">O artigo adota a classificação de Huang (2017), com duas perspectivas:</w:t>
      </w:r>
    </w:p>
    <w:tbl>
      <w:tblPr>
        <w:tblStyle w:val="Table3"/>
        <w:tblW w:w="9030.0" w:type="dxa"/>
        <w:jc w:val="left"/>
        <w:tblLayout w:type="fixed"/>
        <w:tblLook w:val="0600"/>
      </w:tblPr>
      <w:tblGrid>
        <w:gridCol w:w="1950"/>
        <w:gridCol w:w="2820"/>
        <w:gridCol w:w="4260"/>
        <w:tblGridChange w:id="0">
          <w:tblGrid>
            <w:gridCol w:w="1950"/>
            <w:gridCol w:w="2820"/>
            <w:gridCol w:w="42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Perspectiva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Cognitiva</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Worked Examples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Exemplos resolvidos passo a passo (reduzem carga cognitiva)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Cognitiva</w:t>
            </w:r>
          </w:p>
        </w:tc>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Erroneous Worked Examples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Exemplos com erros que o aluno deve encontrar e corrigir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Sócio-cognitiva</w:t>
            </w:r>
          </w:p>
        </w:tc>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Modeling Examples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Demonstração por um especialista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Sócio-cognitiva</w:t>
            </w:r>
          </w:p>
        </w:tc>
        <w:tc>
          <w:tcP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Peer Modeling Examples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Demonstração por um colega (sujeito a erros)</w:t>
            </w:r>
          </w:p>
        </w:tc>
      </w:tr>
    </w:tbl>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jg50rwbtugcw" w:id="40"/>
      <w:bookmarkEnd w:id="40"/>
      <w:r w:rsidDel="00000000" w:rsidR="00000000" w:rsidRPr="00000000">
        <w:rPr>
          <w:b w:val="1"/>
          <w:bCs w:val="1"/>
          <w:color w:val="000000"/>
          <w:sz w:val="26"/>
          <w:szCs w:val="26"/>
          <w:rtl w:val="0"/>
        </w:rPr>
        <w:t xml:space="preserve">Resultados</w:t>
      </w:r>
    </w:p>
    <w:p w:rsidR="00000000" w:rsidDel="00000000" w:rsidP="00000000" w:rsidRDefault="00000000" w:rsidRPr="00000000" w14:paraId="0000012C">
      <w:pPr>
        <w:spacing w:after="240" w:before="240" w:lineRule="auto"/>
        <w:rPr/>
      </w:pPr>
      <w:r w:rsidDel="00000000" w:rsidR="00000000" w:rsidRPr="00000000">
        <w:rPr>
          <w:rtl w:val="0"/>
        </w:rPr>
        <w:t xml:space="preserve">Quanto aos </w:t>
      </w:r>
      <w:r w:rsidDel="00000000" w:rsidR="00000000" w:rsidRPr="00000000">
        <w:rPr>
          <w:b w:val="1"/>
          <w:bCs w:val="1"/>
          <w:rtl w:val="0"/>
        </w:rPr>
        <w:t xml:space="preserve">tipos de exemplos</w:t>
      </w:r>
      <w:r w:rsidDel="00000000" w:rsidR="00000000" w:rsidRPr="00000000">
        <w:rPr>
          <w:rtl w:val="0"/>
        </w:rPr>
        <w:t xml:space="preserve"> (RQ1), Worked Examples dominaram (18 estudos), seguidos de Erroneous Worked Examples (7) e da combinação dos dois (5). Nenhum estudo usou Modeling Examples.</w:t>
      </w:r>
    </w:p>
    <w:p w:rsidR="00000000" w:rsidDel="00000000" w:rsidP="00000000" w:rsidRDefault="00000000" w:rsidRPr="00000000" w14:paraId="0000012D">
      <w:pPr>
        <w:spacing w:after="240" w:before="240" w:lineRule="auto"/>
        <w:rPr/>
      </w:pPr>
      <w:r w:rsidDel="00000000" w:rsidR="00000000" w:rsidRPr="00000000">
        <w:rPr>
          <w:rtl w:val="0"/>
        </w:rPr>
        <w:t xml:space="preserve">Quanto aos </w:t>
      </w:r>
      <w:r w:rsidDel="00000000" w:rsidR="00000000" w:rsidRPr="00000000">
        <w:rPr>
          <w:b w:val="1"/>
          <w:bCs w:val="1"/>
          <w:rtl w:val="0"/>
        </w:rPr>
        <w:t xml:space="preserve">conteúdos</w:t>
      </w:r>
      <w:r w:rsidDel="00000000" w:rsidR="00000000" w:rsidRPr="00000000">
        <w:rPr>
          <w:rtl w:val="0"/>
        </w:rPr>
        <w:t xml:space="preserve"> (RQ2), houve forte concentração em modelagem de software com UML (28 ocorrências), especialmente Diagramas de Caso de Uso e de Classe, além de Design de Software e Construção de Software (incluindo programação).</w:t>
      </w:r>
    </w:p>
    <w:p w:rsidR="00000000" w:rsidDel="00000000" w:rsidP="00000000" w:rsidRDefault="00000000" w:rsidRPr="00000000" w14:paraId="0000012E">
      <w:pPr>
        <w:spacing w:after="240" w:before="240" w:lineRule="auto"/>
        <w:rPr/>
      </w:pPr>
      <w:r w:rsidDel="00000000" w:rsidR="00000000" w:rsidRPr="00000000">
        <w:rPr>
          <w:rtl w:val="0"/>
        </w:rPr>
        <w:t xml:space="preserve">Quanto aos </w:t>
      </w:r>
      <w:r w:rsidDel="00000000" w:rsidR="00000000" w:rsidRPr="00000000">
        <w:rPr>
          <w:b w:val="1"/>
          <w:bCs w:val="1"/>
          <w:rtl w:val="0"/>
        </w:rPr>
        <w:t xml:space="preserve">artefatos</w:t>
      </w:r>
      <w:r w:rsidDel="00000000" w:rsidR="00000000" w:rsidRPr="00000000">
        <w:rPr>
          <w:rtl w:val="0"/>
        </w:rPr>
        <w:t xml:space="preserve"> (RQ3), foram catalogados diagramas com erros, conjuntos de problemas de programação, checklists, exemplos de projetos open-source e do mundo real, além de ferramentas de apoio (um portal de catalogação de worked examples, ambientes como DEPTHS, sistemas de exercícios com feedback).</w:t>
      </w:r>
    </w:p>
    <w:p w:rsidR="00000000" w:rsidDel="00000000" w:rsidP="00000000" w:rsidRDefault="00000000" w:rsidRPr="00000000" w14:paraId="0000012F">
      <w:pPr>
        <w:spacing w:after="240" w:before="240" w:lineRule="auto"/>
        <w:rPr/>
      </w:pPr>
      <w:r w:rsidDel="00000000" w:rsidR="00000000" w:rsidRPr="00000000">
        <w:rPr>
          <w:rtl w:val="0"/>
        </w:rPr>
        <w:t xml:space="preserve">Quanto ao </w:t>
      </w:r>
      <w:r w:rsidDel="00000000" w:rsidR="00000000" w:rsidRPr="00000000">
        <w:rPr>
          <w:b w:val="1"/>
          <w:bCs w:val="1"/>
          <w:rtl w:val="0"/>
        </w:rPr>
        <w:t xml:space="preserve">tipo de estudo</w:t>
      </w:r>
      <w:r w:rsidDel="00000000" w:rsidR="00000000" w:rsidRPr="00000000">
        <w:rPr>
          <w:rtl w:val="0"/>
        </w:rPr>
        <w:t xml:space="preserve"> (RQ4), predominaram experimentos (11) e estudos de caso (9), indicando esforço da comunidade em validar a EBL com rigor empírico.</w:t>
      </w:r>
    </w:p>
    <w:p w:rsidR="00000000" w:rsidDel="00000000" w:rsidP="00000000" w:rsidRDefault="00000000" w:rsidRPr="00000000" w14:paraId="00000130">
      <w:pPr>
        <w:spacing w:after="240" w:before="240" w:lineRule="auto"/>
        <w:rPr/>
      </w:pPr>
      <w:r w:rsidDel="00000000" w:rsidR="00000000" w:rsidRPr="00000000">
        <w:rPr>
          <w:rtl w:val="0"/>
        </w:rPr>
        <w:t xml:space="preserve">Quanto aos </w:t>
      </w:r>
      <w:r w:rsidDel="00000000" w:rsidR="00000000" w:rsidRPr="00000000">
        <w:rPr>
          <w:b w:val="1"/>
          <w:bCs w:val="1"/>
          <w:rtl w:val="0"/>
        </w:rPr>
        <w:t xml:space="preserve">benefícios</w:t>
      </w:r>
      <w:r w:rsidDel="00000000" w:rsidR="00000000" w:rsidRPr="00000000">
        <w:rPr>
          <w:rtl w:val="0"/>
        </w:rPr>
        <w:t xml:space="preserve"> (RQ5), o mais citado foi que os exemplos contribuem para o aprendizado, seguido por ajuda na interpretação e aplicação de conceitos, aumento de confiança e motivação, identificação de erros de modelagem e preparação para o mercado.</w:t>
      </w:r>
    </w:p>
    <w:p w:rsidR="00000000" w:rsidDel="00000000" w:rsidP="00000000" w:rsidRDefault="00000000" w:rsidRPr="00000000" w14:paraId="00000131">
      <w:pPr>
        <w:spacing w:after="240" w:before="240" w:lineRule="auto"/>
        <w:rPr/>
      </w:pPr>
      <w:r w:rsidDel="00000000" w:rsidR="00000000" w:rsidRPr="00000000">
        <w:rPr>
          <w:rtl w:val="0"/>
        </w:rPr>
        <w:t xml:space="preserve">Quanto às </w:t>
      </w:r>
      <w:r w:rsidDel="00000000" w:rsidR="00000000" w:rsidRPr="00000000">
        <w:rPr>
          <w:b w:val="1"/>
          <w:bCs w:val="1"/>
          <w:rtl w:val="0"/>
        </w:rPr>
        <w:t xml:space="preserve">dificuldades</w:t>
      </w:r>
      <w:r w:rsidDel="00000000" w:rsidR="00000000" w:rsidRPr="00000000">
        <w:rPr>
          <w:rtl w:val="0"/>
        </w:rPr>
        <w:t xml:space="preserve"> (RQ6), destacaram-se o esforço aumentado do instrutor, a dificuldade de criar exemplos/diagramas com complexidade adequada, a falta de suporte ao aprendizado e o tempo necessário para elaborar exemplos com erros.</w:t>
      </w:r>
    </w:p>
    <w:p w:rsidR="00000000" w:rsidDel="00000000" w:rsidP="00000000" w:rsidRDefault="00000000" w:rsidRPr="00000000" w14:paraId="00000132">
      <w:pPr>
        <w:spacing w:after="240" w:before="240" w:lineRule="auto"/>
        <w:rPr/>
      </w:pPr>
      <w:r w:rsidDel="00000000" w:rsidR="00000000" w:rsidRPr="00000000">
        <w:rPr>
          <w:rtl w:val="0"/>
        </w:rPr>
        <w:t xml:space="preserve">Por fim, os autores derivaram </w:t>
      </w:r>
      <w:r w:rsidDel="00000000" w:rsidR="00000000" w:rsidRPr="00000000">
        <w:rPr>
          <w:b w:val="1"/>
          <w:bCs w:val="1"/>
          <w:rtl w:val="0"/>
        </w:rPr>
        <w:t xml:space="preserve">oito diretrizes práticas</w:t>
      </w:r>
      <w:r w:rsidDel="00000000" w:rsidR="00000000" w:rsidRPr="00000000">
        <w:rPr>
          <w:rtl w:val="0"/>
        </w:rPr>
        <w:t xml:space="preserve"> para adoção da EBL, incluindo: selecionar exemplos com complexidade apropriada (projetos open-source de porte médio), usar anti-patterns, incorporar erros intencionais progressivamente, usar bugs intencionais para desenvolver depuração, usar exemplos concretos para conceitos abstratos, promover crítica comparativa, usar estratégias ativas e incorporar exemplos da indústria.</w:t>
      </w:r>
    </w:p>
    <w:p w:rsidR="00000000" w:rsidDel="00000000" w:rsidP="00000000" w:rsidRDefault="00000000" w:rsidRPr="00000000" w14:paraId="00000133">
      <w:pPr>
        <w:numPr>
          <w:ilvl w:val="0"/>
          <w:numId w:val="5"/>
        </w:numPr>
        <w:spacing w:after="0" w:afterAutospacing="0" w:before="240" w:lineRule="auto"/>
        <w:ind w:left="720" w:hanging="360"/>
      </w:pPr>
      <w:r w:rsidDel="00000000" w:rsidR="00000000" w:rsidRPr="00000000">
        <w:rPr>
          <w:b w:val="1"/>
          <w:bCs w:val="1"/>
          <w:rtl w:val="0"/>
        </w:rPr>
        <w:t xml:space="preserve">Selecionar exemplos com nível de complexidade apropriado</w:t>
      </w:r>
      <w:r w:rsidDel="00000000" w:rsidR="00000000" w:rsidRPr="00000000">
        <w:rPr>
          <w:rtl w:val="0"/>
        </w:rPr>
        <w:t xml:space="preserve"> (5.5.1): preferir projetos open-source de porte médio, ricos o suficiente para ilustrar problemas reais de ES sem serem complexos demais a ponto de desmotivar; avaliar os projetos previamente (estrutura de código, documentação, relevância) e alinhá-los aos objetivos de aprendizagem.</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b w:val="1"/>
          <w:bCs w:val="1"/>
          <w:rtl w:val="0"/>
        </w:rPr>
        <w:t xml:space="preserve">Usar anti-patterns para ensinar os alunos a evitar erros recorrentes</w:t>
      </w:r>
      <w:r w:rsidDel="00000000" w:rsidR="00000000" w:rsidRPr="00000000">
        <w:rPr>
          <w:rtl w:val="0"/>
        </w:rPr>
        <w:t xml:space="preserve"> (5.5.2): apresentar soluções populares porém problemáticas para que os alunos reconheçam abordagens inadequadas e aprendam boas práticas, estimulando o pensamento crítico sobre decisões de design.</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b w:val="1"/>
          <w:bCs w:val="1"/>
          <w:rtl w:val="0"/>
        </w:rPr>
        <w:t xml:space="preserve">Incorporar erros intencionais para encorajar identificação e correção</w:t>
      </w:r>
      <w:r w:rsidDel="00000000" w:rsidR="00000000" w:rsidRPr="00000000">
        <w:rPr>
          <w:rtl w:val="0"/>
        </w:rPr>
        <w:t xml:space="preserve"> (5.5.3): apresentar diagramas ou código com erros propositais, aplicados de forma progressiva (do mais simples ao mais complexo), pedindo ao aluno que explique o bug ou preveja seu comportamento em vez de apenas corrigi-lo.</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b w:val="1"/>
          <w:bCs w:val="1"/>
          <w:rtl w:val="0"/>
        </w:rPr>
        <w:t xml:space="preserve">Usar bugs intencionais para desenvolver habilidades de depuração</w:t>
      </w:r>
      <w:r w:rsidDel="00000000" w:rsidR="00000000" w:rsidRPr="00000000">
        <w:rPr>
          <w:rtl w:val="0"/>
        </w:rPr>
        <w:t xml:space="preserve"> (5.5.4): inserir bugs planejados no código para que os alunos explorem cenários reais de depuração, categorizem os erros (sintáticos, lógicos etc.) e construam "conhecimento negativo"; apoia-se nos oito princípios de design de bugs intencionais de Griffin (2019).</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b w:val="1"/>
          <w:bCs w:val="1"/>
          <w:rtl w:val="0"/>
        </w:rPr>
        <w:t xml:space="preserve">Usar exemplos concretos para facilitar a compreensão de conceitos abstratos</w:t>
      </w:r>
      <w:r w:rsidDel="00000000" w:rsidR="00000000" w:rsidRPr="00000000">
        <w:rPr>
          <w:rtl w:val="0"/>
        </w:rPr>
        <w:t xml:space="preserve"> (5.5.5): empregar exemplos práticos durante a modelagem para conectar teoria e prática, usando exemplos completos para conceitos iniciais e exemplos parciais para desenvolver análise crítica.</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b w:val="1"/>
          <w:bCs w:val="1"/>
          <w:rtl w:val="0"/>
        </w:rPr>
        <w:t xml:space="preserve">Promover a crítica comparativa com exemplos para desenvolver habilidades de análise crítica</w:t>
      </w:r>
      <w:r w:rsidDel="00000000" w:rsidR="00000000" w:rsidRPr="00000000">
        <w:rPr>
          <w:rtl w:val="0"/>
        </w:rPr>
        <w:t xml:space="preserve"> (5.5.6): incentivar os alunos a revisar exemplos e compará-los com soluções alternativas, reconhecendo que em ES não há uma única resposta correta, mas múltiplas abordagens com vantagens e desvantagens.</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b w:val="1"/>
          <w:bCs w:val="1"/>
          <w:rtl w:val="0"/>
        </w:rPr>
        <w:t xml:space="preserve">Usar estratégias ativas com exemplos para motivar e engajar os alunos</w:t>
      </w:r>
      <w:r w:rsidDel="00000000" w:rsidR="00000000" w:rsidRPr="00000000">
        <w:rPr>
          <w:rtl w:val="0"/>
        </w:rPr>
        <w:t xml:space="preserve"> (5.5.7): integrar exemplos a contextos colaborativos (como sala de aula invertida), usando-os como base para atividades práticas, estudos de caso e simulações.</w:t>
      </w:r>
    </w:p>
    <w:p w:rsidR="00000000" w:rsidDel="00000000" w:rsidP="00000000" w:rsidRDefault="00000000" w:rsidRPr="00000000" w14:paraId="0000013A">
      <w:pPr>
        <w:numPr>
          <w:ilvl w:val="0"/>
          <w:numId w:val="5"/>
        </w:numPr>
        <w:spacing w:after="240" w:before="0" w:beforeAutospacing="0" w:lineRule="auto"/>
        <w:ind w:left="720" w:hanging="360"/>
      </w:pPr>
      <w:r w:rsidDel="00000000" w:rsidR="00000000" w:rsidRPr="00000000">
        <w:rPr>
          <w:b w:val="1"/>
          <w:bCs w:val="1"/>
          <w:rtl w:val="0"/>
        </w:rPr>
        <w:t xml:space="preserve">Incorporar exemplos da indústria para conectar teoria e prática no ensino</w:t>
      </w:r>
      <w:r w:rsidDel="00000000" w:rsidR="00000000" w:rsidRPr="00000000">
        <w:rPr>
          <w:rtl w:val="0"/>
        </w:rPr>
        <w:t xml:space="preserve"> (5.5.8): usar casos reais da indústria para aumentar a motivação e a aplicação prática, adaptando-os ao contexto acadêmico (simplificando o problema e removendo informações confidenciais).</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oqh2wqlhh57o" w:id="41"/>
      <w:bookmarkEnd w:id="41"/>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13E">
      <w:pPr>
        <w:spacing w:after="240" w:before="240" w:lineRule="auto"/>
        <w:rPr/>
      </w:pPr>
      <w:r w:rsidDel="00000000" w:rsidR="00000000" w:rsidRPr="00000000">
        <w:rPr>
          <w:rtl w:val="0"/>
        </w:rPr>
        <w:t xml:space="preserve">Este artigo é, dos cinco que analisei até agora, o mais diretamente conectado ao meu contexto duplo de aluno da área de computação e de desenvolvedor de material para uma disciplina introdutória de Python.</w:t>
      </w:r>
    </w:p>
    <w:p w:rsidR="00000000" w:rsidDel="00000000" w:rsidP="00000000" w:rsidRDefault="00000000" w:rsidRPr="00000000" w14:paraId="0000013F">
      <w:pPr>
        <w:spacing w:after="240" w:before="240" w:lineRule="auto"/>
        <w:rPr/>
      </w:pPr>
      <w:r w:rsidDel="00000000" w:rsidR="00000000" w:rsidRPr="00000000">
        <w:rPr>
          <w:rtl w:val="0"/>
        </w:rPr>
        <w:t xml:space="preserve">A conexão mais forte está no fato de que meu OA é, em essência, uma aplicação concreta de </w:t>
      </w:r>
      <w:r w:rsidDel="00000000" w:rsidR="00000000" w:rsidRPr="00000000">
        <w:rPr>
          <w:b w:val="1"/>
          <w:bCs w:val="1"/>
          <w:rtl w:val="0"/>
        </w:rPr>
        <w:t xml:space="preserve">Worked Examples</w:t>
      </w:r>
      <w:r w:rsidDel="00000000" w:rsidR="00000000" w:rsidRPr="00000000">
        <w:rPr>
          <w:rtl w:val="0"/>
        </w:rPr>
        <w:t xml:space="preserve">: exatamente o tipo de exemplo mais utilizado nos 30 estudos mapeados, e o mais estudado no ensino de programação e construção de software. Cada unidade do meu código funciona como um exemplo resolvido que o aluno observa, compreende e modifica, reduzindo a carga cognitiva ao apresentar uma solução funcional antes de exigir que ele a estenda. Posso usar esse artigo para fundamentar teoricamente essa escolha, ancorando-a na Teoria da Carga Cognitiva (Sweller) citada no referencial.</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A estrutura em unidades progressivas dialoga diretamente com a diretriz 5.5.3 (incorporar erros e desafios de forma progressiva) e com a 5.5.5 (usar exemplos completos para conceitos iniciais e exemplos parciais para desenvolver análise crítica). A progressão U1 → U2 → U3 pode ser pensada justamente nesses termos: Partir de um exemplo mais completo e guiado, e ir abrindo espaço para que o aluno preencha lacunas e modifique o código à medida que avança. Isso me dá um vocabulário e uma base de evidência para descrever e justificar o desenho da minha progressão no artigo.</w:t>
      </w:r>
    </w:p>
    <w:p w:rsidR="00000000" w:rsidDel="00000000" w:rsidP="00000000" w:rsidRDefault="00000000" w:rsidRPr="00000000" w14:paraId="00000141">
      <w:pPr>
        <w:spacing w:after="240" w:before="240" w:lineRule="auto"/>
        <w:rPr/>
      </w:pPr>
      <w:r w:rsidDel="00000000" w:rsidR="00000000" w:rsidRPr="00000000">
        <w:rPr>
          <w:rtl w:val="0"/>
        </w:rPr>
        <w:t xml:space="preserve">O artigo também me oferece uma oportunidade de enriquecer o OA: como nenhum dos estudos mapeados utilizou Erroneous Worked Examples no contexto exato do meu material, eu poderia considerar incorporar, em alguma unidade, versões do código com bugs intencionais para o aluno identificar e corrigir: seguindo os princípios de design de Griffin (2019) que o artigo detalha. Isso desenvolveria habilidades de depuração e "conhecimento negativo" (entender o que não fazer), agregando valor pedagógico e diferenciando meu trabalho.</w:t>
      </w:r>
    </w:p>
    <w:p w:rsidR="00000000" w:rsidDel="00000000" w:rsidP="00000000" w:rsidRDefault="00000000" w:rsidRPr="00000000" w14:paraId="00000142">
      <w:pPr>
        <w:spacing w:after="240" w:before="240" w:lineRule="auto"/>
        <w:rPr/>
      </w:pPr>
      <w:r w:rsidDel="00000000" w:rsidR="00000000" w:rsidRPr="00000000">
        <w:rPr>
          <w:rtl w:val="0"/>
        </w:rPr>
        <w:t xml:space="preserve">Os vídeos que pretendo adicionar encontram respaldo na diretriz 5.5.7 (estratégias ativas com exemplos para motivar e engajar) e tocam tangencialmente nos Modeling Examples: a demonstração por um especialista, ausente em todos os estudos mapeados. Um vídeo em que eu narro e demonstro a construção ou modificação do código aproxima meu OA dessa categoria, o que pode ser apontado como uma contribuição, já que o mapeamento identificou essa lacuna.</w:t>
      </w:r>
    </w:p>
    <w:p w:rsidR="00000000" w:rsidDel="00000000" w:rsidP="00000000" w:rsidRDefault="00000000" w:rsidRPr="00000000" w14:paraId="00000143">
      <w:pPr>
        <w:spacing w:after="240" w:before="240" w:lineRule="auto"/>
        <w:rPr/>
      </w:pPr>
      <w:r w:rsidDel="00000000" w:rsidR="00000000" w:rsidRPr="00000000">
        <w:rPr>
          <w:rtl w:val="0"/>
        </w:rPr>
        <w:t xml:space="preserve">Por fim, o artigo me ajuda a posicionar meu trabalho diante de uma necessidade explícita apontada pelos autores: a carência de </w:t>
      </w:r>
      <w:r w:rsidDel="00000000" w:rsidR="00000000" w:rsidRPr="00000000">
        <w:rPr>
          <w:b w:val="1"/>
          <w:bCs w:val="1"/>
          <w:rtl w:val="0"/>
        </w:rPr>
        <w:t xml:space="preserve">ferramentas e recursos educacionais específicos</w:t>
      </w:r>
      <w:r w:rsidDel="00000000" w:rsidR="00000000" w:rsidRPr="00000000">
        <w:rPr>
          <w:rtl w:val="0"/>
        </w:rPr>
        <w:t xml:space="preserve"> que apoiem instrutores na adoção da EBL. Meu OA: um exemplo trabalhado, versionado, reutilizável e acompanhado de material de apoio: pode ser enquadrado precisamente como resposta a essa lacuna, especialmente porque o uso de um jogo como o 2048 ajuda a selecionar um exemplo com complexidade adequada (diretriz 5.5.1): rico o suficiente para ser autêntico e motivador, mas sem a complexidade inacessível de um projeto open-source de grande porte.</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26"/>
          <w:szCs w:val="26"/>
        </w:rPr>
      </w:pPr>
      <w:bookmarkStart w:colFirst="0" w:colLast="0" w:name="_c7ettosk6326" w:id="42"/>
      <w:bookmarkEnd w:id="42"/>
      <w:r w:rsidDel="00000000" w:rsidR="00000000" w:rsidRPr="00000000">
        <w:rPr>
          <w:b w:val="1"/>
          <w:bCs w:val="1"/>
          <w:i w:val="1"/>
          <w:iCs w:val="1"/>
          <w:sz w:val="26"/>
          <w:szCs w:val="26"/>
          <w:rtl w:val="0"/>
        </w:rPr>
        <w:t xml:space="preserve">A Framework for Evaluating the Quality of Multimedia Learning Resources</w:t>
      </w:r>
      <w:r w:rsidDel="00000000" w:rsidR="00000000" w:rsidRPr="00000000">
        <w:rPr>
          <w:b w:val="1"/>
          <w:bCs w:val="1"/>
          <w:sz w:val="26"/>
          <w:szCs w:val="26"/>
          <w:rtl w:val="0"/>
        </w:rPr>
        <w:t xml:space="preserve"> (Leacock &amp; Nesbit, 2007)</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53mdh0f76t5w" w:id="43"/>
      <w:bookmarkEnd w:id="43"/>
      <w:r w:rsidDel="00000000" w:rsidR="00000000" w:rsidRPr="00000000">
        <w:rPr>
          <w:b w:val="1"/>
          <w:bCs w:val="1"/>
          <w:color w:val="000000"/>
          <w:sz w:val="26"/>
          <w:szCs w:val="26"/>
          <w:rtl w:val="0"/>
        </w:rPr>
        <w:t xml:space="preserve">Contexto</w:t>
      </w:r>
    </w:p>
    <w:p w:rsidR="00000000" w:rsidDel="00000000" w:rsidP="00000000" w:rsidRDefault="00000000" w:rsidRPr="00000000" w14:paraId="00000152">
      <w:pPr>
        <w:spacing w:after="240" w:before="240" w:lineRule="auto"/>
        <w:rPr/>
      </w:pPr>
      <w:r w:rsidDel="00000000" w:rsidR="00000000" w:rsidRPr="00000000">
        <w:rPr>
          <w:rtl w:val="0"/>
        </w:rPr>
        <w:t xml:space="preserve">O número de recursos digitais de aprendizagem reutilizáveis disponíveis em repositórios cresce rapidamente: o MERLOT já continha mais de 15.000 recursos à época, e o NSDL permitia buscar centenas de repositórios. Esse crescimento acelerado deslocou a atenção para a </w:t>
      </w:r>
      <w:r w:rsidDel="00000000" w:rsidR="00000000" w:rsidRPr="00000000">
        <w:rPr>
          <w:b w:val="1"/>
          <w:bCs w:val="1"/>
          <w:rtl w:val="0"/>
        </w:rPr>
        <w:t xml:space="preserve">qualidade inconsistente</w:t>
      </w:r>
      <w:r w:rsidDel="00000000" w:rsidR="00000000" w:rsidRPr="00000000">
        <w:rPr>
          <w:rtl w:val="0"/>
        </w:rPr>
        <w:t xml:space="preserve"> desses recursos. Instrumentos exaustivos e detalhados, usados por alguns sistemas escolares para avaliar softwares educacionais, não são adequados para objetos de aprendizagem, que tendem a ser menores e mais numerosos.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flnjnnqjsivc" w:id="44"/>
      <w:bookmarkEnd w:id="44"/>
      <w:r w:rsidDel="00000000" w:rsidR="00000000" w:rsidRPr="00000000">
        <w:rPr>
          <w:b w:val="1"/>
          <w:bCs w:val="1"/>
          <w:color w:val="000000"/>
          <w:sz w:val="26"/>
          <w:szCs w:val="26"/>
          <w:rtl w:val="0"/>
        </w:rPr>
        <w:t xml:space="preserve">Problema</w:t>
      </w:r>
    </w:p>
    <w:p w:rsidR="00000000" w:rsidDel="00000000" w:rsidP="00000000" w:rsidRDefault="00000000" w:rsidRPr="00000000" w14:paraId="00000155">
      <w:pPr>
        <w:spacing w:after="240" w:before="240" w:lineRule="auto"/>
        <w:rPr/>
      </w:pPr>
      <w:r w:rsidDel="00000000" w:rsidR="00000000" w:rsidRPr="00000000">
        <w:rPr>
          <w:rtl w:val="0"/>
        </w:rPr>
        <w:t xml:space="preserve">Havia um desafio central na avaliação somativa de objetos de aprendizagem multimídia: </w:t>
      </w:r>
      <w:r w:rsidDel="00000000" w:rsidR="00000000" w:rsidRPr="00000000">
        <w:rPr>
          <w:b w:val="1"/>
          <w:bCs w:val="1"/>
          <w:rtl w:val="0"/>
        </w:rPr>
        <w:t xml:space="preserve">equilibrar a validade da avaliação com a eficiência do processo</w:t>
      </w:r>
      <w:r w:rsidDel="00000000" w:rsidR="00000000" w:rsidRPr="00000000">
        <w:rPr>
          <w:rtl w:val="0"/>
        </w:rPr>
        <w:t xml:space="preserve"> (throughput). Além disso, os autores apontam três justificativas para a necessidade de instrumentos específicos: o design de materiais multimídia frequentemente não é informado por pesquisa em psicologia e educação; alguns repositórios usam métricas de qualidade para ordenar resultados de busca, cuja eficácia depende diretamente da validade do instrumento; e critérios de qualidade têm potencial de retroalimentar e melhorar as práticas de design.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rtd43tnhy27o" w:id="45"/>
      <w:bookmarkEnd w:id="45"/>
      <w:r w:rsidDel="00000000" w:rsidR="00000000" w:rsidRPr="00000000">
        <w:rPr>
          <w:b w:val="1"/>
          <w:bCs w:val="1"/>
          <w:color w:val="000000"/>
          <w:sz w:val="26"/>
          <w:szCs w:val="26"/>
          <w:rtl w:val="0"/>
        </w:rPr>
        <w:t xml:space="preserve">Solução</w:t>
      </w:r>
    </w:p>
    <w:p w:rsidR="00000000" w:rsidDel="00000000" w:rsidP="00000000" w:rsidRDefault="00000000" w:rsidRPr="00000000" w14:paraId="00000158">
      <w:pPr>
        <w:spacing w:after="240" w:before="240" w:lineRule="auto"/>
        <w:rPr/>
      </w:pPr>
      <w:r w:rsidDel="00000000" w:rsidR="00000000" w:rsidRPr="00000000">
        <w:rPr>
          <w:rtl w:val="0"/>
        </w:rPr>
        <w:t xml:space="preserve">O artigo apresenta a </w:t>
      </w:r>
      <w:r w:rsidDel="00000000" w:rsidR="00000000" w:rsidRPr="00000000">
        <w:rPr>
          <w:b w:val="1"/>
          <w:bCs w:val="1"/>
          <w:rtl w:val="0"/>
        </w:rPr>
        <w:t xml:space="preserve">fundamentação teórica do LORI</w:t>
      </w:r>
      <w:r w:rsidDel="00000000" w:rsidR="00000000" w:rsidRPr="00000000">
        <w:rPr>
          <w:rtl w:val="0"/>
        </w:rPr>
        <w:t xml:space="preserve"> (Learning Object Review Instrument), disponível pela rede eLera. Diferente de instrumentos maiores com critérios muito detalhados, o LORI se baseia em </w:t>
      </w:r>
      <w:r w:rsidDel="00000000" w:rsidR="00000000" w:rsidRPr="00000000">
        <w:rPr>
          <w:b w:val="1"/>
          <w:bCs w:val="1"/>
          <w:rtl w:val="0"/>
        </w:rPr>
        <w:t xml:space="preserve">dimensões amplamente interpretadas</w:t>
      </w:r>
      <w:r w:rsidDel="00000000" w:rsidR="00000000" w:rsidRPr="00000000">
        <w:rPr>
          <w:rtl w:val="0"/>
        </w:rPr>
        <w:t xml:space="preserve"> (abordagem heurística) que sustentam o discurso somativo sobre pontos fortes e fracos de um objeto. É a explicação teórica mais aprofundada das </w:t>
      </w:r>
      <w:r w:rsidDel="00000000" w:rsidR="00000000" w:rsidRPr="00000000">
        <w:rPr>
          <w:b w:val="1"/>
          <w:bCs w:val="1"/>
          <w:rtl w:val="0"/>
        </w:rPr>
        <w:t xml:space="preserve">nove dimensões da LORI v1.5</w:t>
      </w:r>
      <w:r w:rsidDel="00000000" w:rsidR="00000000" w:rsidRPr="00000000">
        <w:rPr>
          <w:rtl w:val="0"/>
        </w:rPr>
        <w:t xml:space="preserve">, cada uma com pesquisa e prática que a fundamentam, além de rubricas de pontuação (1, 3, 5).</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t63cfkgfe5rm" w:id="46"/>
      <w:bookmarkEnd w:id="46"/>
      <w:r w:rsidDel="00000000" w:rsidR="00000000" w:rsidRPr="00000000">
        <w:rPr>
          <w:b w:val="1"/>
          <w:bCs w:val="1"/>
          <w:color w:val="000000"/>
          <w:sz w:val="26"/>
          <w:szCs w:val="26"/>
          <w:rtl w:val="0"/>
        </w:rPr>
        <w:t xml:space="preserve">As Nove Dimensões da LORI (fundamentação teórica)</w:t>
      </w:r>
    </w:p>
    <w:p w:rsidR="00000000" w:rsidDel="00000000" w:rsidP="00000000" w:rsidRDefault="00000000" w:rsidRPr="00000000" w14:paraId="0000015B">
      <w:pPr>
        <w:spacing w:after="240" w:before="240" w:lineRule="auto"/>
        <w:rPr/>
      </w:pPr>
      <w:r w:rsidDel="00000000" w:rsidR="00000000" w:rsidRPr="00000000">
        <w:rPr>
          <w:rtl w:val="0"/>
        </w:rPr>
        <w:t xml:space="preserve">Esta é a principal contribuição do artigo: detalhar o embasamento de cada critério:</w:t>
      </w:r>
    </w:p>
    <w:tbl>
      <w:tblPr>
        <w:tblStyle w:val="Table4"/>
        <w:tblW w:w="9025.511811023624" w:type="dxa"/>
        <w:jc w:val="left"/>
        <w:tblLayout w:type="fixed"/>
        <w:tblLook w:val="0600"/>
      </w:tblPr>
      <w:tblGrid>
        <w:gridCol w:w="2326.8524361929617"/>
        <w:gridCol w:w="6698.65937483066"/>
        <w:tblGridChange w:id="0">
          <w:tblGrid>
            <w:gridCol w:w="2326.8524361929617"/>
            <w:gridCol w:w="6698.6593748306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Dimensão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Fundamento teórico central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Content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Veracidade, precisão, ausência de viés (seis formas de viés de Gollnick &amp; Chinn)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Learning goal alignment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Alinhamento entre objetivos, atividades e avaliações (Cohen: ganho de 1 a 3 desvios-padrão)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Feedback and adaptation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Do feedback simples ao modelo do aprendiz (Bloom, tutores inteligentes)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Motivation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Teoria expectativa-valor (Wigfield &amp; Eccles); crítica à "complexidade superficial"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Presentation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Teoria da Carga Cognitiva e princípios de Mayer para multimídia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Interaction usability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Distinção entre interação com a interface e com o conteúdo (Norman, Nielsen)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Accessibility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Diretrizes W3C/WCAG e IMS; transformação graciosa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Reusability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Equilíbrio entre reuso e ajuste ao contexto (Campbell); sem informação específica de contexto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Standards compliance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Metadados e padrões (IEEE LOM, SCORM, Dublin Core)</w:t>
            </w:r>
          </w:p>
        </w:tc>
      </w:tr>
    </w:tbl>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5q9u4742epg8" w:id="47"/>
      <w:bookmarkEnd w:id="47"/>
      <w:r w:rsidDel="00000000" w:rsidR="00000000" w:rsidRPr="00000000">
        <w:rPr>
          <w:b w:val="1"/>
          <w:bCs w:val="1"/>
          <w:color w:val="000000"/>
          <w:sz w:val="26"/>
          <w:szCs w:val="26"/>
          <w:rtl w:val="0"/>
        </w:rPr>
        <w:t xml:space="preserve">Avaliação</w:t>
      </w:r>
    </w:p>
    <w:p w:rsidR="00000000" w:rsidDel="00000000" w:rsidP="00000000" w:rsidRDefault="00000000" w:rsidRPr="00000000" w14:paraId="00000172">
      <w:pPr>
        <w:spacing w:after="240" w:before="240" w:lineRule="auto"/>
        <w:rPr/>
      </w:pPr>
      <w:r w:rsidDel="00000000" w:rsidR="00000000" w:rsidRPr="00000000">
        <w:rPr>
          <w:rtl w:val="0"/>
        </w:rPr>
        <w:t xml:space="preserve">O artigo é </w:t>
      </w:r>
      <w:r w:rsidDel="00000000" w:rsidR="00000000" w:rsidRPr="00000000">
        <w:rPr>
          <w:b w:val="1"/>
          <w:bCs w:val="1"/>
          <w:rtl w:val="0"/>
        </w:rPr>
        <w:t xml:space="preserve">teórico e descritivo</w:t>
      </w:r>
      <w:r w:rsidDel="00000000" w:rsidR="00000000" w:rsidRPr="00000000">
        <w:rPr>
          <w:rtl w:val="0"/>
        </w:rPr>
        <w:t xml:space="preserve">: não apresenta um novo estudo empírico, mas fundamenta cada dimensão da LORI com décadas de pesquisa em psicologia educacional e design instrucional. Os autores referenciam estudos empíricos anteriores (Vargo et al. 2003, Richards &amp; Nesbit 2004) que demonstraram a utilidade da LORI dentro do modelo de Participação Convergente. O valor central está na explicação de </w:t>
      </w:r>
      <w:r w:rsidDel="00000000" w:rsidR="00000000" w:rsidRPr="00000000">
        <w:rPr>
          <w:i w:val="1"/>
          <w:iCs w:val="1"/>
          <w:rtl w:val="0"/>
        </w:rPr>
        <w:t xml:space="preserve">por que</w:t>
      </w:r>
      <w:r w:rsidDel="00000000" w:rsidR="00000000" w:rsidRPr="00000000">
        <w:rPr>
          <w:rtl w:val="0"/>
        </w:rPr>
        <w:t xml:space="preserve"> cada critério importa e </w:t>
      </w:r>
      <w:r w:rsidDel="00000000" w:rsidR="00000000" w:rsidRPr="00000000">
        <w:rPr>
          <w:i w:val="1"/>
          <w:iCs w:val="1"/>
          <w:rtl w:val="0"/>
        </w:rPr>
        <w:t xml:space="preserve">como</w:t>
      </w:r>
      <w:r w:rsidDel="00000000" w:rsidR="00000000" w:rsidRPr="00000000">
        <w:rPr>
          <w:rtl w:val="0"/>
        </w:rPr>
        <w:t xml:space="preserve"> interpretá-lo.</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pkc82yro3a34" w:id="48"/>
      <w:bookmarkEnd w:id="48"/>
      <w:r w:rsidDel="00000000" w:rsidR="00000000" w:rsidRPr="00000000">
        <w:rPr>
          <w:b w:val="1"/>
          <w:bCs w:val="1"/>
          <w:color w:val="000000"/>
          <w:sz w:val="26"/>
          <w:szCs w:val="26"/>
          <w:rtl w:val="0"/>
        </w:rPr>
        <w:t xml:space="preserve">Resultados</w:t>
      </w:r>
    </w:p>
    <w:p w:rsidR="00000000" w:rsidDel="00000000" w:rsidP="00000000" w:rsidRDefault="00000000" w:rsidRPr="00000000" w14:paraId="00000175">
      <w:pPr>
        <w:spacing w:after="240" w:before="240" w:lineRule="auto"/>
        <w:rPr/>
      </w:pPr>
      <w:r w:rsidDel="00000000" w:rsidR="00000000" w:rsidRPr="00000000">
        <w:rPr>
          <w:rtl w:val="0"/>
        </w:rPr>
        <w:t xml:space="preserve">O principal resultado é o </w:t>
      </w:r>
      <w:r w:rsidDel="00000000" w:rsidR="00000000" w:rsidRPr="00000000">
        <w:rPr>
          <w:b w:val="1"/>
          <w:bCs w:val="1"/>
          <w:rtl w:val="0"/>
        </w:rPr>
        <w:t xml:space="preserve">framework heurístico completo e teoricamente fundamentado</w:t>
      </w:r>
      <w:r w:rsidDel="00000000" w:rsidR="00000000" w:rsidRPr="00000000">
        <w:rPr>
          <w:rtl w:val="0"/>
        </w:rPr>
        <w:t xml:space="preserve"> para avaliar objetos de aprendizagem multimídia. Os autores argumentam que a LORI atinge um equilíbrio pragmático entre profundidade de avaliação e tempo: em poucos minutos, um avaliador pode produzir uma revisão significativa que, além de informativa por si só, pode ser agregada às revisões de outros. A estrutura relativamente aberta da LORI favorece a avaliação colaborativa por discussão e argumentação, contribuindo para construir conhecimento compartilhado entre desenvolvedores e usuários.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davri0ouv1ds" w:id="49"/>
      <w:bookmarkEnd w:id="49"/>
      <w:r w:rsidDel="00000000" w:rsidR="00000000" w:rsidRPr="00000000">
        <w:rPr>
          <w:b w:val="1"/>
          <w:bCs w:val="1"/>
          <w:color w:val="000000"/>
          <w:sz w:val="26"/>
          <w:szCs w:val="26"/>
          <w:rtl w:val="0"/>
        </w:rPr>
        <w:t xml:space="preserve">Como se aplica ao meu trabalho?</w:t>
      </w:r>
    </w:p>
    <w:p w:rsidR="00000000" w:rsidDel="00000000" w:rsidP="00000000" w:rsidRDefault="00000000" w:rsidRPr="00000000" w14:paraId="00000178">
      <w:pPr>
        <w:spacing w:after="240" w:before="240" w:lineRule="auto"/>
        <w:rPr/>
      </w:pPr>
      <w:r w:rsidDel="00000000" w:rsidR="00000000" w:rsidRPr="00000000">
        <w:rPr>
          <w:rtl w:val="0"/>
        </w:rPr>
        <w:t xml:space="preserve">Este artigo é a </w:t>
      </w:r>
      <w:r w:rsidDel="00000000" w:rsidR="00000000" w:rsidRPr="00000000">
        <w:rPr>
          <w:b w:val="1"/>
          <w:bCs w:val="1"/>
          <w:rtl w:val="0"/>
        </w:rPr>
        <w:t xml:space="preserve">referência definitiva</w:t>
      </w:r>
      <w:r w:rsidDel="00000000" w:rsidR="00000000" w:rsidRPr="00000000">
        <w:rPr>
          <w:rtl w:val="0"/>
        </w:rPr>
        <w:t xml:space="preserve"> para eu justificar e aplicar a LORI na avaliação do meu objeto de aprendizagem. Como já venho realizando avaliações LORI do meu OA ao longo de iterações, este texto me dá exatamente o embasamento teórico de que preciso para interpretar cada critério com rigor.</w:t>
      </w:r>
    </w:p>
    <w:p w:rsidR="00000000" w:rsidDel="00000000" w:rsidP="00000000" w:rsidRDefault="00000000" w:rsidRPr="00000000" w14:paraId="00000179">
      <w:pPr>
        <w:spacing w:after="240" w:before="240" w:lineRule="auto"/>
        <w:rPr/>
      </w:pPr>
      <w:r w:rsidDel="00000000" w:rsidR="00000000" w:rsidRPr="00000000">
        <w:rPr>
          <w:rtl w:val="0"/>
        </w:rPr>
        <w:t xml:space="preserve">A dimensão </w:t>
      </w:r>
      <w:r w:rsidDel="00000000" w:rsidR="00000000" w:rsidRPr="00000000">
        <w:rPr>
          <w:b w:val="1"/>
          <w:bCs w:val="1"/>
          <w:rtl w:val="0"/>
        </w:rPr>
        <w:t xml:space="preserve">presentation design</w:t>
      </w:r>
      <w:r w:rsidDel="00000000" w:rsidR="00000000" w:rsidRPr="00000000">
        <w:rPr>
          <w:rtl w:val="0"/>
        </w:rPr>
        <w:t xml:space="preserve"> e a </w:t>
      </w:r>
      <w:r w:rsidDel="00000000" w:rsidR="00000000" w:rsidRPr="00000000">
        <w:rPr>
          <w:b w:val="1"/>
          <w:bCs w:val="1"/>
          <w:rtl w:val="0"/>
        </w:rPr>
        <w:t xml:space="preserve">motivation</w:t>
      </w:r>
      <w:r w:rsidDel="00000000" w:rsidR="00000000" w:rsidRPr="00000000">
        <w:rPr>
          <w:rFonts w:ascii="Arial Unicode MS" w:cs="Arial Unicode MS" w:eastAsia="Arial Unicode MS" w:hAnsi="Arial Unicode MS"/>
          <w:rtl w:val="0"/>
        </w:rPr>
        <w:t xml:space="preserve"> são especialmente úteis para mim, porque ambas se ancoram na Teoria da Carga Cognitiva: a mesma base teórica dos Worked Examples que fundamentam meu OA (visto no artigo de Bonetti et al.). Isso me permite conectar de forma coerente o design do meu material à sua avaliação: posso argumentar que a progressão U1 → U2 → U3 particiona o conteúdo em componentes ajustados à habilidade do aluno, o que, segundo o artigo, aumenta a autoeficácia e a motivação. A crítica à "complexidade superficial" também me lembra a evitar recursos visuais chamativos no jogo que não sirvam ao objetivo de aprendizagem.</w:t>
      </w:r>
    </w:p>
    <w:p w:rsidR="00000000" w:rsidDel="00000000" w:rsidP="00000000" w:rsidRDefault="00000000" w:rsidRPr="00000000" w14:paraId="0000017A">
      <w:pPr>
        <w:spacing w:after="240" w:before="240" w:lineRule="auto"/>
        <w:rPr/>
      </w:pPr>
      <w:r w:rsidDel="00000000" w:rsidR="00000000" w:rsidRPr="00000000">
        <w:rPr>
          <w:rtl w:val="0"/>
        </w:rPr>
        <w:t xml:space="preserve">A dimensão </w:t>
      </w:r>
      <w:r w:rsidDel="00000000" w:rsidR="00000000" w:rsidRPr="00000000">
        <w:rPr>
          <w:b w:val="1"/>
          <w:bCs w:val="1"/>
          <w:rtl w:val="0"/>
        </w:rPr>
        <w:t xml:space="preserve">learning goal alignment</w:t>
      </w:r>
      <w:r w:rsidDel="00000000" w:rsidR="00000000" w:rsidRPr="00000000">
        <w:rPr>
          <w:rtl w:val="0"/>
        </w:rPr>
        <w:t xml:space="preserve"> me orienta a explicitar os objetivos de aprendizagem de cada unidade: seja no material de texto explicativo que pretendo criar, seja nos metadados do objeto: e a garantir que as modificações propostas ao aluno estejam alinhadas com esses objetivos.</w:t>
      </w:r>
    </w:p>
    <w:p w:rsidR="00000000" w:rsidDel="00000000" w:rsidP="00000000" w:rsidRDefault="00000000" w:rsidRPr="00000000" w14:paraId="0000017B">
      <w:pPr>
        <w:spacing w:after="240" w:before="240" w:lineRule="auto"/>
        <w:rPr/>
      </w:pPr>
      <w:r w:rsidDel="00000000" w:rsidR="00000000" w:rsidRPr="00000000">
        <w:rPr>
          <w:rtl w:val="0"/>
        </w:rPr>
        <w:t xml:space="preserve">A dimensão </w:t>
      </w:r>
      <w:r w:rsidDel="00000000" w:rsidR="00000000" w:rsidRPr="00000000">
        <w:rPr>
          <w:b w:val="1"/>
          <w:bCs w:val="1"/>
          <w:rtl w:val="0"/>
        </w:rPr>
        <w:t xml:space="preserve">reusability</w:t>
      </w:r>
      <w:r w:rsidDel="00000000" w:rsidR="00000000" w:rsidRPr="00000000">
        <w:rPr>
          <w:rtl w:val="0"/>
        </w:rPr>
        <w:t xml:space="preserve"> dialoga diretamente com os princípios de Boyle (desacoplamento) e Wiley (taxonomia): o artigo me alerta a não embutir no código informações específicas de contexto (nomes de instrutor, datas), o que aumentaria o potencial de reuso do meu OA por outros professores. A sugestão de fornecer glossário ou resumo de conhecimento prévio também é aplicável ao meu material de apoio.</w:t>
      </w:r>
    </w:p>
    <w:p w:rsidR="00000000" w:rsidDel="00000000" w:rsidP="00000000" w:rsidRDefault="00000000" w:rsidRPr="00000000" w14:paraId="0000017C">
      <w:pPr>
        <w:spacing w:after="240" w:before="240" w:lineRule="auto"/>
        <w:rPr/>
      </w:pPr>
      <w:r w:rsidDel="00000000" w:rsidR="00000000" w:rsidRPr="00000000">
        <w:rPr>
          <w:rtl w:val="0"/>
        </w:rPr>
        <w:t xml:space="preserve">A dimensão </w:t>
      </w:r>
      <w:r w:rsidDel="00000000" w:rsidR="00000000" w:rsidRPr="00000000">
        <w:rPr>
          <w:b w:val="1"/>
          <w:bCs w:val="1"/>
          <w:rtl w:val="0"/>
        </w:rPr>
        <w:t xml:space="preserve">feedback and adaptation</w:t>
      </w:r>
      <w:r w:rsidDel="00000000" w:rsidR="00000000" w:rsidRPr="00000000">
        <w:rPr>
          <w:rtl w:val="0"/>
        </w:rPr>
        <w:t xml:space="preserve"> me faz refletir sobre o quanto meu OA responde às ações do aluno. Como é um jogo interativo, o próprio 2048 oferece feedback natural, mas posso pensar em como o material de texto e os vídeos podem explicar </w:t>
      </w:r>
      <w:r w:rsidDel="00000000" w:rsidR="00000000" w:rsidRPr="00000000">
        <w:rPr>
          <w:i w:val="1"/>
          <w:iCs w:val="1"/>
          <w:rtl w:val="0"/>
        </w:rPr>
        <w:t xml:space="preserve">por que</w:t>
      </w:r>
      <w:r w:rsidDel="00000000" w:rsidR="00000000" w:rsidRPr="00000000">
        <w:rPr>
          <w:rtl w:val="0"/>
        </w:rPr>
        <w:t xml:space="preserve"> certas modificações funcionam ou não: aproximando meu objeto de níveis mais altos dessa dimensão.</w:t>
      </w:r>
    </w:p>
    <w:p w:rsidR="00000000" w:rsidDel="00000000" w:rsidP="00000000" w:rsidRDefault="00000000" w:rsidRPr="00000000" w14:paraId="0000017D">
      <w:pPr>
        <w:spacing w:after="240" w:before="240" w:lineRule="auto"/>
        <w:rPr/>
      </w:pPr>
      <w:r w:rsidDel="00000000" w:rsidR="00000000" w:rsidRPr="00000000">
        <w:rPr>
          <w:rtl w:val="0"/>
        </w:rPr>
        <w:t xml:space="preserve">Por fim, as </w:t>
      </w:r>
      <w:r w:rsidDel="00000000" w:rsidR="00000000" w:rsidRPr="00000000">
        <w:rPr>
          <w:b w:val="1"/>
          <w:bCs w:val="1"/>
          <w:rtl w:val="0"/>
        </w:rPr>
        <w:t xml:space="preserve">rubricas de pontuação (1, 3, 5)</w:t>
      </w:r>
      <w:r w:rsidDel="00000000" w:rsidR="00000000" w:rsidRPr="00000000">
        <w:rPr>
          <w:rtl w:val="0"/>
        </w:rPr>
        <w:t xml:space="preserve"> detalhadas para cada dimensão são um recurso prático imediato: elas me dão os descritores exatos para justificar as notas que atribuí em cada iteração da minha avaliação LORI, tornando meu processo avaliativo transparente e defensável no TCC. Combinado com o modelo de Participação Convergente, posso ainda propor uma avaliação colaborativa do meu OA reunindo avaliadores com perfis complementares.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