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Avaliação LORI v1.5 — Objeto de Aprendizagem (2048 / Pygame)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Rodadas comparadas: “Código” avalia o código-fonte documentado isoladamente; “Agregado” avalia o conjunto de código documentado, código limpo e série de quatro vídeos. Escala: 1 (Baixo) a 5 (Alto); NA = não aplicável.</w:t>
      </w:r>
    </w:p>
    <w:tbl>
      <w:tblPr>
        <w:tblStyle w:val="Table1"/>
        <w:tblW w:w="1039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975"/>
        <w:gridCol w:w="1200"/>
        <w:gridCol w:w="6120"/>
        <w:tblGridChange w:id="0">
          <w:tblGrid>
            <w:gridCol w:w="2100"/>
            <w:gridCol w:w="975"/>
            <w:gridCol w:w="1200"/>
            <w:gridCol w:w="61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Agregado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Comentário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Qualidade do Conteúdo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lógica do jogo 2048 está correta (compressão, mesclagem e movimento nas quatro direções, geração de peças com probabilidade 4:1 entre 2 e 4) e os comentários descrevem com precisão os conceitos que rotulam, sem omissões que possam induzir o aprendiz ao erro.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Alinhamento dos Objetivos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objetivos de aprendizagem são declarados nos comentários que abrem cada bloco de unidade e, no agregado, também no vídeo introdutório, em formato acessível ao aluno. O conteúdo (assistir, ler e modificar o código) alinha-se a eles. Não atinge o nível máximo porque o objeto não contém, em nenhuma das rodadas, atividades ou avaliações alinhadas aos objetivos que permitam ao aprendiz verificar o próprio progresso.</w:t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Feedback e Adaptação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objeto funciona como ferramenta cuja saída varia conforme o input diferencial do aprendiz: espera-se que o aluno edite o próprio código e observe a execução mudar, construindo o fenômeno em estudo. Essa manipulabilidade é affordance intrínseca do artefato. Regra interpretativa declarada: a leitura de “input diferencial” foi estendida à edição de código-fonte. Não atinge níveis superiores porque não há modelo do aprendiz nem retorno sobre a correção conceitual das alterações; os vídeos, por serem estáticos, não alteram este quesito.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Motivação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artefato é um jogo funcional e jogável, com resultado visual imediato e passível de modificação pelo aprendiz, o que constitui forte gancho motivacional para iniciantes. Não atinge o máximo por não embutir desafios e critérios de sucesso na dimensão de aprendizagem, tampouco feedback comparando o desempenho do aprendiz a esses critérios.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Design da Apresentação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Diagramação didática consistente no código: divisores de seção, cabeçalhos de unidade e comentários alinhados, minimizando a busca visual. Escrita clara e livre de erros. No agregado, os vídeos narrados atendem diretamente ao descritor do nível máximo, e a decisão de exibir a versão limpa do código na tela, reservando a versão comentada ao estudo autônomo, evita a redundância entre canal visual e narração. A nota do agregado fica condicionada aos valores de produção dos vídeos (legibilidade do código em tela, qualidade de áudio).</w:t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Usabilidade da Interação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navegação informa implicitamente o uso: a progressão U1 &gt; U2 &gt; U3 estabelece o percurso de leitura e as constantes manipuláveis estão agrupadas, rotuladas e com convite explícito à alteração. No agregado, o vídeo introdutório preenche a lacuna de orientação de percurso, apresentando objetivos, dependências e demonstração antes do contato com o código. Elementos antecipados de outras unidades são geridos pela convenção de caixa-preta, declarada no próprio código, o que preserva a previsibilidade.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Acessibilidade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 rodada do código, aplicativo Pygame de desktop com baixa acomodação pelos critérios do item (NA defensável pela inadequação do instrumento a código-fonte). No agregado, o item torna-se plenamente aplicável e a nota sobe: o mesmo conteúdo existe em canal textual (código comentado, legível por leitor de tela) e em canal audiovisual narrado, e os vídeos hospedados em plataforma são acessíveis em dispositivos móveis, atendendo ao critério de mobilidade que o aplicativo isolado não atendia. Nota condicionada à legendagem dos vídeos, uma vez que o descritor do nível mínimo cita nominalmente vídeo sem legenda.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Reusabilidade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2f6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Artefato autocontido, sem referência a instituição ou instrutor. Os vídeos atuam como conteúdo adjunto que amplia a faixa de aprendizes atendida, oferecendo caminho alternativo a quem trava na leitura do código. A nota permanece intermediária porque as duas âncoras seguem presentes: o etiquetamento por unidade vincula o objeto a uma sequência curricular específica e o idioma restringe o alcance a aprendizes lusófonos.</w:t>
            </w:r>
          </w:p>
        </w:tc>
      </w:tr>
      <w:tr>
        <w:trPr>
          <w:cantSplit w:val="0"/>
          <w:trHeight w:val="4755" w:hRule="atLeast"/>
          <w:tblHeader w:val="0"/>
        </w:trPr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Conformidade com Padrões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bbbbbb" w:space="0" w:sz="1" w:val="single"/>
              <w:left w:color="bbbbbb" w:space="0" w:sz="1" w:val="single"/>
              <w:bottom w:color="bbbbbb" w:space="0" w:sz="1" w:val="single"/>
              <w:right w:color="bbbbbb" w:space="0" w:sz="1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 rodada do código, aplica-se o descritor do nível mínimo (metadados não fornecidos). Na rodada do agregado, o item foi marcado NA por delimitação de escopo: o objeto não se destina a repositórios ou agregadores de OA, de modo que padrões de empacotamento e descoberta estão fora do seu propósito. Como exercício exploratório, um registro IEEE LOM completo nas nove categorias, em binding XML e com versão legível em README, foi gerado com assistência de IA; uma vez preenchido, validado e distribuído com o objeto, tal registro poderia defensavelmente elevar o item a pontuação entre 3 e 4, condicionado-o 4 à aceitação do argumento de relevância dos padrões (SCORM e W3C inaplicáveis ao formato). O exercício indica que a camada de metadados deixou de ser barreira de custo, sendo sua ausência aqui escolha de escopo.</w:t>
            </w:r>
          </w:p>
        </w:tc>
      </w:tr>
    </w:tbl>
    <w:p w:rsidR="00000000" w:rsidDel="00000000" w:rsidP="00000000" w:rsidRDefault="00000000" w:rsidRPr="00000000" w14:paraId="0000002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Rodada do código: </w:t>
      </w:r>
      <w:r w:rsidDel="00000000" w:rsidR="00000000" w:rsidRPr="00000000">
        <w:rPr>
          <w:rtl w:val="0"/>
        </w:rPr>
        <w:t xml:space="preserve">média 3,56 nos 9 itens; 4,14 excluindo os itens 7 e 9 como NA.</w:t>
      </w:r>
    </w:p>
    <w:p w:rsidR="00000000" w:rsidDel="00000000" w:rsidP="00000000" w:rsidRDefault="00000000" w:rsidRPr="00000000" w14:paraId="0000002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Rodada do agregado: </w:t>
      </w:r>
      <w:r w:rsidDel="00000000" w:rsidR="00000000" w:rsidRPr="00000000">
        <w:rPr>
          <w:rtl w:val="0"/>
        </w:rPr>
        <w:t xml:space="preserve">média 4,00 nos 8 itens aplicáveis (item 9 NA por delimitação de escopo).</w:t>
      </w:r>
    </w:p>
    <w:p w:rsidR="00000000" w:rsidDel="00000000" w:rsidP="00000000" w:rsidRDefault="00000000" w:rsidRPr="00000000" w14:paraId="0000002D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metodológica: </w:t>
      </w:r>
      <w:r w:rsidDel="00000000" w:rsidR="00000000" w:rsidRPr="00000000">
        <w:rPr>
          <w:rtl w:val="0"/>
        </w:rPr>
        <w:t xml:space="preserve">as duas rodadas possuem bases distintas de itens aplicáveis. A mudança da unidade de análise alterou não apenas as pontuações, mas o conjunto de itens que se aplicam: no agregado, o item 7 tornou-se plenamente aplicável (o objeto passou a conter multimídia) e o item 9 tornou-se NA por escopo. As médias, portanto, não são diretamente comparáveis entre si e devem ser lidas junto do perfil item a item.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