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090"/>
        <w:gridCol w:w="1383"/>
        <w:gridCol w:w="5030"/>
      </w:tblGrid>
      <w:tr w:rsidR="00020EE3" w:rsidTr="00020EE3">
        <w:tc>
          <w:tcPr>
            <w:tcW w:w="847" w:type="dxa"/>
          </w:tcPr>
          <w:p w:rsidR="0084164D" w:rsidRDefault="0084164D">
            <w:r>
              <w:t>Col#</w:t>
            </w:r>
          </w:p>
        </w:tc>
        <w:tc>
          <w:tcPr>
            <w:tcW w:w="2090" w:type="dxa"/>
          </w:tcPr>
          <w:p w:rsidR="0084164D" w:rsidRDefault="0084164D">
            <w:r>
              <w:t>Heading</w:t>
            </w:r>
          </w:p>
        </w:tc>
        <w:tc>
          <w:tcPr>
            <w:tcW w:w="1383" w:type="dxa"/>
          </w:tcPr>
          <w:p w:rsidR="0084164D" w:rsidRDefault="0084164D">
            <w:r>
              <w:t>Format</w:t>
            </w:r>
          </w:p>
        </w:tc>
        <w:tc>
          <w:tcPr>
            <w:tcW w:w="5030" w:type="dxa"/>
          </w:tcPr>
          <w:p w:rsidR="0084164D" w:rsidRDefault="0084164D">
            <w:r>
              <w:t>Description</w:t>
            </w:r>
          </w:p>
        </w:tc>
      </w:tr>
      <w:tr w:rsidR="00020EE3" w:rsidTr="00020EE3">
        <w:tc>
          <w:tcPr>
            <w:tcW w:w="847" w:type="dxa"/>
          </w:tcPr>
          <w:p w:rsidR="0084164D" w:rsidRDefault="0084164D">
            <w:r>
              <w:t>1</w:t>
            </w:r>
          </w:p>
        </w:tc>
        <w:tc>
          <w:tcPr>
            <w:tcW w:w="2090" w:type="dxa"/>
          </w:tcPr>
          <w:p w:rsidR="0084164D" w:rsidRDefault="0084164D">
            <w:r>
              <w:t>Year</w:t>
            </w:r>
          </w:p>
        </w:tc>
        <w:tc>
          <w:tcPr>
            <w:tcW w:w="1383" w:type="dxa"/>
          </w:tcPr>
          <w:p w:rsidR="0084164D" w:rsidRDefault="0084164D">
            <w:r>
              <w:t xml:space="preserve">Integer </w:t>
            </w:r>
          </w:p>
        </w:tc>
        <w:tc>
          <w:tcPr>
            <w:tcW w:w="5030" w:type="dxa"/>
          </w:tcPr>
          <w:p w:rsidR="0084164D" w:rsidRDefault="0084164D">
            <w:r>
              <w:t>Year of data acquisition</w:t>
            </w:r>
          </w:p>
        </w:tc>
      </w:tr>
      <w:tr w:rsidR="00020EE3" w:rsidTr="00020EE3">
        <w:tc>
          <w:tcPr>
            <w:tcW w:w="847" w:type="dxa"/>
          </w:tcPr>
          <w:p w:rsidR="0084164D" w:rsidRDefault="0084164D">
            <w:r>
              <w:t>2</w:t>
            </w:r>
          </w:p>
        </w:tc>
        <w:tc>
          <w:tcPr>
            <w:tcW w:w="2090" w:type="dxa"/>
          </w:tcPr>
          <w:p w:rsidR="0084164D" w:rsidRDefault="0084164D">
            <w:r>
              <w:t>mm:dd:hh:mm:ss</w:t>
            </w:r>
          </w:p>
        </w:tc>
        <w:tc>
          <w:tcPr>
            <w:tcW w:w="1383" w:type="dxa"/>
          </w:tcPr>
          <w:p w:rsidR="0084164D" w:rsidRDefault="0084164D">
            <w:r>
              <w:t>Integer+float</w:t>
            </w:r>
          </w:p>
        </w:tc>
        <w:tc>
          <w:tcPr>
            <w:tcW w:w="5030" w:type="dxa"/>
          </w:tcPr>
          <w:p w:rsidR="0084164D" w:rsidRDefault="0084164D">
            <w:r>
              <w:t>Month-day-hour-minute-sec(sec is float to milliseconds)</w:t>
            </w:r>
          </w:p>
        </w:tc>
      </w:tr>
      <w:tr w:rsidR="00020EE3" w:rsidTr="00020EE3">
        <w:tc>
          <w:tcPr>
            <w:tcW w:w="847" w:type="dxa"/>
          </w:tcPr>
          <w:p w:rsidR="0084164D" w:rsidRDefault="0084164D">
            <w:r>
              <w:t>3</w:t>
            </w:r>
          </w:p>
        </w:tc>
        <w:tc>
          <w:tcPr>
            <w:tcW w:w="2090" w:type="dxa"/>
          </w:tcPr>
          <w:p w:rsidR="0084164D" w:rsidRDefault="0084164D">
            <w:r>
              <w:t>ROI#</w:t>
            </w:r>
          </w:p>
        </w:tc>
        <w:tc>
          <w:tcPr>
            <w:tcW w:w="1383" w:type="dxa"/>
          </w:tcPr>
          <w:p w:rsidR="0084164D" w:rsidRDefault="0084164D">
            <w:r>
              <w:t xml:space="preserve">Integer </w:t>
            </w:r>
          </w:p>
        </w:tc>
        <w:tc>
          <w:tcPr>
            <w:tcW w:w="5030" w:type="dxa"/>
          </w:tcPr>
          <w:p w:rsidR="0084164D" w:rsidRDefault="0084164D">
            <w:r>
              <w:t>ROI Number in frame</w:t>
            </w:r>
          </w:p>
        </w:tc>
      </w:tr>
      <w:tr w:rsidR="00020EE3" w:rsidTr="00020EE3">
        <w:tc>
          <w:tcPr>
            <w:tcW w:w="847" w:type="dxa"/>
          </w:tcPr>
          <w:p w:rsidR="0084164D" w:rsidRDefault="006E6112">
            <w:r>
              <w:t>4</w:t>
            </w:r>
          </w:p>
        </w:tc>
        <w:tc>
          <w:tcPr>
            <w:tcW w:w="2090" w:type="dxa"/>
          </w:tcPr>
          <w:p w:rsidR="0084164D" w:rsidRDefault="0084164D">
            <w:r>
              <w:t>ArrTime</w:t>
            </w:r>
          </w:p>
        </w:tc>
        <w:tc>
          <w:tcPr>
            <w:tcW w:w="1383" w:type="dxa"/>
          </w:tcPr>
          <w:p w:rsidR="0084164D" w:rsidRDefault="005538F5">
            <w:r>
              <w:t xml:space="preserve">Integer </w:t>
            </w:r>
          </w:p>
        </w:tc>
        <w:tc>
          <w:tcPr>
            <w:tcW w:w="5030" w:type="dxa"/>
          </w:tcPr>
          <w:p w:rsidR="0084164D" w:rsidRDefault="0084164D">
            <w:r>
              <w:t xml:space="preserve">Arrival time in </w:t>
            </w:r>
            <w:r>
              <w:rPr>
                <w:rFonts w:hint="eastAsia"/>
              </w:rPr>
              <w:t>μ</w:t>
            </w:r>
            <w:r>
              <w:t>sec</w:t>
            </w:r>
          </w:p>
        </w:tc>
      </w:tr>
      <w:tr w:rsidR="00020EE3" w:rsidTr="00020EE3">
        <w:tc>
          <w:tcPr>
            <w:tcW w:w="847" w:type="dxa"/>
          </w:tcPr>
          <w:p w:rsidR="0084164D" w:rsidRDefault="006E6112">
            <w:r>
              <w:t>5</w:t>
            </w:r>
          </w:p>
        </w:tc>
        <w:tc>
          <w:tcPr>
            <w:tcW w:w="2090" w:type="dxa"/>
          </w:tcPr>
          <w:p w:rsidR="0084164D" w:rsidRDefault="0084164D">
            <w:r>
              <w:t>TS</w:t>
            </w:r>
          </w:p>
        </w:tc>
        <w:tc>
          <w:tcPr>
            <w:tcW w:w="1383" w:type="dxa"/>
          </w:tcPr>
          <w:p w:rsidR="0084164D" w:rsidRDefault="005538F5">
            <w:r>
              <w:t xml:space="preserve">Integer </w:t>
            </w:r>
          </w:p>
        </w:tc>
        <w:tc>
          <w:tcPr>
            <w:tcW w:w="5030" w:type="dxa"/>
          </w:tcPr>
          <w:p w:rsidR="0084164D" w:rsidRDefault="005538F5">
            <w:r>
              <w:t>Total strobe count</w:t>
            </w:r>
          </w:p>
        </w:tc>
      </w:tr>
      <w:tr w:rsidR="00020EE3" w:rsidTr="00020EE3">
        <w:tc>
          <w:tcPr>
            <w:tcW w:w="847" w:type="dxa"/>
          </w:tcPr>
          <w:p w:rsidR="0084164D" w:rsidRDefault="006E6112">
            <w:r>
              <w:t>6</w:t>
            </w:r>
          </w:p>
        </w:tc>
        <w:tc>
          <w:tcPr>
            <w:tcW w:w="2090" w:type="dxa"/>
          </w:tcPr>
          <w:p w:rsidR="0084164D" w:rsidRDefault="0084164D">
            <w:r>
              <w:t>DeadTime</w:t>
            </w:r>
          </w:p>
        </w:tc>
        <w:tc>
          <w:tcPr>
            <w:tcW w:w="1383" w:type="dxa"/>
          </w:tcPr>
          <w:p w:rsidR="005538F5" w:rsidRDefault="005538F5">
            <w:r>
              <w:t>Float</w:t>
            </w:r>
          </w:p>
        </w:tc>
        <w:tc>
          <w:tcPr>
            <w:tcW w:w="5030" w:type="dxa"/>
          </w:tcPr>
          <w:p w:rsidR="0084164D" w:rsidRDefault="005538F5">
            <w:r>
              <w:t>Deadtime in milliseconds</w:t>
            </w:r>
          </w:p>
        </w:tc>
      </w:tr>
      <w:tr w:rsidR="00020EE3" w:rsidTr="00020EE3">
        <w:tc>
          <w:tcPr>
            <w:tcW w:w="847" w:type="dxa"/>
          </w:tcPr>
          <w:p w:rsidR="0084164D" w:rsidRDefault="006E6112">
            <w:r>
              <w:t>7</w:t>
            </w:r>
          </w:p>
        </w:tc>
        <w:tc>
          <w:tcPr>
            <w:tcW w:w="2090" w:type="dxa"/>
          </w:tcPr>
          <w:p w:rsidR="0084164D" w:rsidRDefault="0084164D">
            <w:r>
              <w:t>Length</w:t>
            </w:r>
          </w:p>
        </w:tc>
        <w:tc>
          <w:tcPr>
            <w:tcW w:w="1383" w:type="dxa"/>
          </w:tcPr>
          <w:p w:rsidR="0084164D" w:rsidRDefault="005538F5">
            <w:r>
              <w:t>Float</w:t>
            </w:r>
          </w:p>
        </w:tc>
        <w:tc>
          <w:tcPr>
            <w:tcW w:w="5030" w:type="dxa"/>
          </w:tcPr>
          <w:p w:rsidR="0084164D" w:rsidRDefault="005538F5">
            <w:r>
              <w:t xml:space="preserve">Maximum length in </w:t>
            </w:r>
            <w:r>
              <w:rPr>
                <w:rFonts w:hint="eastAsia"/>
              </w:rPr>
              <w:t>μ</w:t>
            </w:r>
            <w:r>
              <w:t>m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8</w:t>
            </w:r>
          </w:p>
        </w:tc>
        <w:tc>
          <w:tcPr>
            <w:tcW w:w="2090" w:type="dxa"/>
          </w:tcPr>
          <w:p w:rsidR="0084164D" w:rsidRDefault="0084164D">
            <w:r>
              <w:t>Width</w:t>
            </w:r>
          </w:p>
        </w:tc>
        <w:tc>
          <w:tcPr>
            <w:tcW w:w="1383" w:type="dxa"/>
          </w:tcPr>
          <w:p w:rsidR="0084164D" w:rsidRDefault="005538F5">
            <w:r>
              <w:t>Float</w:t>
            </w:r>
          </w:p>
        </w:tc>
        <w:tc>
          <w:tcPr>
            <w:tcW w:w="5030" w:type="dxa"/>
          </w:tcPr>
          <w:p w:rsidR="005538F5" w:rsidRDefault="005538F5">
            <w:r>
              <w:t xml:space="preserve">Orthogonal width in </w:t>
            </w:r>
            <w:r>
              <w:rPr>
                <w:rFonts w:hint="eastAsia"/>
              </w:rPr>
              <w:t>μ</w:t>
            </w:r>
            <w:r>
              <w:t>m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9</w:t>
            </w:r>
          </w:p>
        </w:tc>
        <w:tc>
          <w:tcPr>
            <w:tcW w:w="2090" w:type="dxa"/>
          </w:tcPr>
          <w:p w:rsidR="0084164D" w:rsidRDefault="0084164D">
            <w:r>
              <w:t xml:space="preserve">Area </w:t>
            </w:r>
          </w:p>
        </w:tc>
        <w:tc>
          <w:tcPr>
            <w:tcW w:w="1383" w:type="dxa"/>
          </w:tcPr>
          <w:p w:rsidR="0084164D" w:rsidRDefault="005538F5">
            <w:r>
              <w:t>Float</w:t>
            </w:r>
          </w:p>
        </w:tc>
        <w:tc>
          <w:tcPr>
            <w:tcW w:w="5030" w:type="dxa"/>
          </w:tcPr>
          <w:p w:rsidR="005538F5" w:rsidRDefault="005538F5">
            <w:r>
              <w:t xml:space="preserve">Aera in </w:t>
            </w:r>
            <w:bookmarkStart w:id="0" w:name="OLE_LINK1"/>
            <w:r>
              <w:t xml:space="preserve">sq. </w:t>
            </w:r>
            <w:bookmarkEnd w:id="0"/>
            <w:r>
              <w:rPr>
                <w:rFonts w:hint="eastAsia"/>
              </w:rPr>
              <w:t>μ</w:t>
            </w:r>
            <w:r>
              <w:t>m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10</w:t>
            </w:r>
          </w:p>
        </w:tc>
        <w:tc>
          <w:tcPr>
            <w:tcW w:w="2090" w:type="dxa"/>
          </w:tcPr>
          <w:p w:rsidR="0084164D" w:rsidRDefault="0084164D">
            <w:r>
              <w:t xml:space="preserve">Perim </w:t>
            </w:r>
          </w:p>
        </w:tc>
        <w:tc>
          <w:tcPr>
            <w:tcW w:w="1383" w:type="dxa"/>
          </w:tcPr>
          <w:p w:rsidR="0084164D" w:rsidRDefault="005538F5">
            <w:r>
              <w:t>Float</w:t>
            </w:r>
          </w:p>
        </w:tc>
        <w:tc>
          <w:tcPr>
            <w:tcW w:w="5030" w:type="dxa"/>
          </w:tcPr>
          <w:p w:rsidR="0084164D" w:rsidRDefault="005538F5">
            <w:r>
              <w:t xml:space="preserve">Perimeter in </w:t>
            </w:r>
            <w:r>
              <w:rPr>
                <w:rFonts w:hint="eastAsia"/>
              </w:rPr>
              <w:t>μ</w:t>
            </w:r>
            <w:r>
              <w:t>m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11</w:t>
            </w:r>
          </w:p>
        </w:tc>
        <w:tc>
          <w:tcPr>
            <w:tcW w:w="2090" w:type="dxa"/>
          </w:tcPr>
          <w:p w:rsidR="0084164D" w:rsidRDefault="0084164D">
            <w:r>
              <w:t xml:space="preserve">Rndness </w:t>
            </w:r>
          </w:p>
        </w:tc>
        <w:tc>
          <w:tcPr>
            <w:tcW w:w="1383" w:type="dxa"/>
          </w:tcPr>
          <w:p w:rsidR="0084164D" w:rsidRDefault="005538F5">
            <w:r>
              <w:t>Float</w:t>
            </w:r>
          </w:p>
        </w:tc>
        <w:tc>
          <w:tcPr>
            <w:tcW w:w="5030" w:type="dxa"/>
          </w:tcPr>
          <w:p w:rsidR="0084164D" w:rsidRDefault="005538F5">
            <w:r>
              <w:t>Roundness measure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12</w:t>
            </w:r>
          </w:p>
        </w:tc>
        <w:tc>
          <w:tcPr>
            <w:tcW w:w="2090" w:type="dxa"/>
          </w:tcPr>
          <w:p w:rsidR="0084164D" w:rsidRDefault="0084164D">
            <w:r>
              <w:t xml:space="preserve">Focus </w:t>
            </w:r>
          </w:p>
        </w:tc>
        <w:tc>
          <w:tcPr>
            <w:tcW w:w="1383" w:type="dxa"/>
          </w:tcPr>
          <w:p w:rsidR="0084164D" w:rsidRDefault="005538F5">
            <w:r>
              <w:t>Integer</w:t>
            </w:r>
          </w:p>
        </w:tc>
        <w:tc>
          <w:tcPr>
            <w:tcW w:w="5030" w:type="dxa"/>
          </w:tcPr>
          <w:p w:rsidR="0084164D" w:rsidRDefault="005538F5">
            <w:r>
              <w:t>%focus 0-100 mean of 20 points on perimeter (255 indicates failure)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13</w:t>
            </w:r>
          </w:p>
        </w:tc>
        <w:tc>
          <w:tcPr>
            <w:tcW w:w="2090" w:type="dxa"/>
          </w:tcPr>
          <w:p w:rsidR="0084164D" w:rsidRDefault="0084164D">
            <w:r>
              <w:t xml:space="preserve">Cutoff </w:t>
            </w:r>
          </w:p>
        </w:tc>
        <w:tc>
          <w:tcPr>
            <w:tcW w:w="1383" w:type="dxa"/>
          </w:tcPr>
          <w:p w:rsidR="0084164D" w:rsidRDefault="005538F5">
            <w:r>
              <w:t>Integer</w:t>
            </w:r>
          </w:p>
        </w:tc>
        <w:tc>
          <w:tcPr>
            <w:tcW w:w="5030" w:type="dxa"/>
          </w:tcPr>
          <w:p w:rsidR="0084164D" w:rsidRDefault="005538F5">
            <w:r>
              <w:t>Cut-off-percentage that particle is cut-off optically</w:t>
            </w:r>
          </w:p>
        </w:tc>
      </w:tr>
      <w:tr w:rsidR="0084164D" w:rsidTr="00020EE3">
        <w:tc>
          <w:tcPr>
            <w:tcW w:w="847" w:type="dxa"/>
          </w:tcPr>
          <w:p w:rsidR="0084164D" w:rsidRPr="006E6112" w:rsidRDefault="006E6112">
            <w:r>
              <w:t>14</w:t>
            </w:r>
          </w:p>
        </w:tc>
        <w:tc>
          <w:tcPr>
            <w:tcW w:w="2090" w:type="dxa"/>
          </w:tcPr>
          <w:p w:rsidR="0084164D" w:rsidRPr="006E6112" w:rsidRDefault="0084164D">
            <w:r w:rsidRPr="006E6112">
              <w:t xml:space="preserve">Crystal </w:t>
            </w:r>
          </w:p>
        </w:tc>
        <w:tc>
          <w:tcPr>
            <w:tcW w:w="1383" w:type="dxa"/>
          </w:tcPr>
          <w:p w:rsidR="0084164D" w:rsidRDefault="001F779A">
            <w:r>
              <w:t>Integer</w:t>
            </w:r>
          </w:p>
        </w:tc>
        <w:tc>
          <w:tcPr>
            <w:tcW w:w="5030" w:type="dxa"/>
          </w:tcPr>
          <w:p w:rsidR="0084164D" w:rsidRDefault="001F779A">
            <w:r>
              <w:t>Crystal type – number specifying crystal type</w:t>
            </w:r>
          </w:p>
          <w:p w:rsidR="00020EE3" w:rsidRDefault="006E6112" w:rsidP="006E6112">
            <w:pPr>
              <w:pStyle w:val="a4"/>
              <w:numPr>
                <w:ilvl w:val="0"/>
                <w:numId w:val="4"/>
              </w:numPr>
            </w:pPr>
            <w:r>
              <w:t xml:space="preserve">Ice </w:t>
            </w:r>
          </w:p>
          <w:p w:rsidR="00020EE3" w:rsidRDefault="006E6112" w:rsidP="006E6112">
            <w:pPr>
              <w:ind w:left="360"/>
            </w:pPr>
            <w:r>
              <w:t>1     Water</w:t>
            </w:r>
          </w:p>
          <w:p w:rsidR="006E6112" w:rsidRDefault="006E6112" w:rsidP="006E6112">
            <w:pPr>
              <w:pStyle w:val="a4"/>
              <w:numPr>
                <w:ilvl w:val="0"/>
                <w:numId w:val="3"/>
              </w:numPr>
            </w:pPr>
            <w:r>
              <w:t>Rejected particles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15</w:t>
            </w:r>
          </w:p>
        </w:tc>
        <w:tc>
          <w:tcPr>
            <w:tcW w:w="2090" w:type="dxa"/>
          </w:tcPr>
          <w:p w:rsidR="0084164D" w:rsidRDefault="0084164D">
            <w:r>
              <w:t xml:space="preserve">P1 </w:t>
            </w:r>
          </w:p>
        </w:tc>
        <w:tc>
          <w:tcPr>
            <w:tcW w:w="1383" w:type="dxa"/>
          </w:tcPr>
          <w:p w:rsidR="0084164D" w:rsidRDefault="001F779A">
            <w:r>
              <w:t>Float</w:t>
            </w:r>
          </w:p>
        </w:tc>
        <w:tc>
          <w:tcPr>
            <w:tcW w:w="5030" w:type="dxa"/>
          </w:tcPr>
          <w:p w:rsidR="0084164D" w:rsidRDefault="001F779A">
            <w:r>
              <w:t>Used for internal purposes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16</w:t>
            </w:r>
          </w:p>
        </w:tc>
        <w:tc>
          <w:tcPr>
            <w:tcW w:w="2090" w:type="dxa"/>
          </w:tcPr>
          <w:p w:rsidR="0084164D" w:rsidRDefault="0084164D">
            <w:r>
              <w:t>Inten_Holeless_Stats</w:t>
            </w:r>
          </w:p>
        </w:tc>
        <w:tc>
          <w:tcPr>
            <w:tcW w:w="1383" w:type="dxa"/>
          </w:tcPr>
          <w:p w:rsidR="0084164D" w:rsidRDefault="00020EE3">
            <w:r>
              <w:t>Float array</w:t>
            </w:r>
          </w:p>
        </w:tc>
        <w:tc>
          <w:tcPr>
            <w:tcW w:w="5030" w:type="dxa"/>
          </w:tcPr>
          <w:p w:rsidR="0084164D" w:rsidRDefault="00020EE3">
            <w:r>
              <w:t>Intensity_HoleLess_stats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N                size of sample set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Min            Minimum value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Max            Maximum value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Mean         Mean value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Median      Median value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Mode         Mode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Std Dev      Standard Deviation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Skewness   Skeviation</w:t>
            </w:r>
          </w:p>
          <w:p w:rsidR="00020EE3" w:rsidRDefault="00020EE3" w:rsidP="00020EE3">
            <w:pPr>
              <w:pStyle w:val="a4"/>
              <w:numPr>
                <w:ilvl w:val="0"/>
                <w:numId w:val="1"/>
              </w:numPr>
            </w:pPr>
            <w:r>
              <w:t>Kurtosis      Kurtosis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17</w:t>
            </w:r>
          </w:p>
        </w:tc>
        <w:tc>
          <w:tcPr>
            <w:tcW w:w="2090" w:type="dxa"/>
          </w:tcPr>
          <w:p w:rsidR="0084164D" w:rsidRDefault="0084164D">
            <w:r>
              <w:t>HrmCnt</w:t>
            </w:r>
          </w:p>
        </w:tc>
        <w:tc>
          <w:tcPr>
            <w:tcW w:w="1383" w:type="dxa"/>
          </w:tcPr>
          <w:p w:rsidR="0084164D" w:rsidRDefault="009D6F3F">
            <w:r>
              <w:t xml:space="preserve">Integer </w:t>
            </w:r>
          </w:p>
        </w:tc>
        <w:tc>
          <w:tcPr>
            <w:tcW w:w="5030" w:type="dxa"/>
          </w:tcPr>
          <w:p w:rsidR="0084164D" w:rsidRDefault="00020EE3">
            <w:r>
              <w:t>Harmonics count – size of Harmonics array (variable)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18</w:t>
            </w:r>
          </w:p>
        </w:tc>
        <w:tc>
          <w:tcPr>
            <w:tcW w:w="2090" w:type="dxa"/>
          </w:tcPr>
          <w:p w:rsidR="0084164D" w:rsidRDefault="0084164D">
            <w:r>
              <w:t>h1</w:t>
            </w:r>
          </w:p>
        </w:tc>
        <w:tc>
          <w:tcPr>
            <w:tcW w:w="1383" w:type="dxa"/>
          </w:tcPr>
          <w:p w:rsidR="0084164D" w:rsidRDefault="00020EE3">
            <w:r>
              <w:t>Float</w:t>
            </w:r>
          </w:p>
        </w:tc>
        <w:tc>
          <w:tcPr>
            <w:tcW w:w="5030" w:type="dxa"/>
          </w:tcPr>
          <w:p w:rsidR="0084164D" w:rsidRDefault="00020EE3">
            <w:r>
              <w:t>Hole 1 area – area of hole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19</w:t>
            </w:r>
          </w:p>
        </w:tc>
        <w:tc>
          <w:tcPr>
            <w:tcW w:w="2090" w:type="dxa"/>
          </w:tcPr>
          <w:p w:rsidR="0084164D" w:rsidRDefault="0084164D">
            <w:r>
              <w:t>h2</w:t>
            </w:r>
          </w:p>
        </w:tc>
        <w:tc>
          <w:tcPr>
            <w:tcW w:w="1383" w:type="dxa"/>
          </w:tcPr>
          <w:p w:rsidR="0084164D" w:rsidRDefault="00020EE3">
            <w:r>
              <w:t>Float</w:t>
            </w:r>
          </w:p>
        </w:tc>
        <w:tc>
          <w:tcPr>
            <w:tcW w:w="5030" w:type="dxa"/>
          </w:tcPr>
          <w:p w:rsidR="0084164D" w:rsidRDefault="00020EE3">
            <w:r>
              <w:t>Hole 2 area – area of hole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20</w:t>
            </w:r>
          </w:p>
        </w:tc>
        <w:tc>
          <w:tcPr>
            <w:tcW w:w="2090" w:type="dxa"/>
          </w:tcPr>
          <w:p w:rsidR="0084164D" w:rsidRDefault="0084164D">
            <w:r>
              <w:t>h3</w:t>
            </w:r>
          </w:p>
        </w:tc>
        <w:tc>
          <w:tcPr>
            <w:tcW w:w="1383" w:type="dxa"/>
          </w:tcPr>
          <w:p w:rsidR="0084164D" w:rsidRDefault="00020EE3">
            <w:r>
              <w:t>Float</w:t>
            </w:r>
          </w:p>
        </w:tc>
        <w:tc>
          <w:tcPr>
            <w:tcW w:w="5030" w:type="dxa"/>
          </w:tcPr>
          <w:p w:rsidR="0084164D" w:rsidRDefault="00020EE3">
            <w:r>
              <w:t>Hole 3 area – area of hole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21</w:t>
            </w:r>
          </w:p>
        </w:tc>
        <w:tc>
          <w:tcPr>
            <w:tcW w:w="2090" w:type="dxa"/>
          </w:tcPr>
          <w:p w:rsidR="0084164D" w:rsidRDefault="0084164D">
            <w:r>
              <w:t>h4</w:t>
            </w:r>
          </w:p>
        </w:tc>
        <w:tc>
          <w:tcPr>
            <w:tcW w:w="1383" w:type="dxa"/>
          </w:tcPr>
          <w:p w:rsidR="0084164D" w:rsidRDefault="00020EE3">
            <w:r>
              <w:t>Float</w:t>
            </w:r>
          </w:p>
        </w:tc>
        <w:tc>
          <w:tcPr>
            <w:tcW w:w="5030" w:type="dxa"/>
          </w:tcPr>
          <w:p w:rsidR="0084164D" w:rsidRDefault="00020EE3">
            <w:r>
              <w:t>Hole 4 area – area of hole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22</w:t>
            </w:r>
          </w:p>
        </w:tc>
        <w:tc>
          <w:tcPr>
            <w:tcW w:w="2090" w:type="dxa"/>
          </w:tcPr>
          <w:p w:rsidR="0084164D" w:rsidRDefault="0084164D">
            <w:r>
              <w:t>h5</w:t>
            </w:r>
          </w:p>
        </w:tc>
        <w:tc>
          <w:tcPr>
            <w:tcW w:w="1383" w:type="dxa"/>
          </w:tcPr>
          <w:p w:rsidR="0084164D" w:rsidRDefault="00020EE3">
            <w:r>
              <w:t>Float</w:t>
            </w:r>
          </w:p>
        </w:tc>
        <w:tc>
          <w:tcPr>
            <w:tcW w:w="5030" w:type="dxa"/>
          </w:tcPr>
          <w:p w:rsidR="0084164D" w:rsidRDefault="00020EE3">
            <w:r>
              <w:t>Hole 5 area – area of hole</w:t>
            </w:r>
          </w:p>
        </w:tc>
      </w:tr>
      <w:tr w:rsidR="0084164D" w:rsidTr="00020EE3">
        <w:tc>
          <w:tcPr>
            <w:tcW w:w="847" w:type="dxa"/>
          </w:tcPr>
          <w:p w:rsidR="0084164D" w:rsidRDefault="006E6112">
            <w:r>
              <w:t>23</w:t>
            </w:r>
          </w:p>
        </w:tc>
        <w:tc>
          <w:tcPr>
            <w:tcW w:w="2090" w:type="dxa"/>
          </w:tcPr>
          <w:p w:rsidR="0084164D" w:rsidRDefault="0084164D">
            <w:r>
              <w:t>h6</w:t>
            </w:r>
          </w:p>
        </w:tc>
        <w:tc>
          <w:tcPr>
            <w:tcW w:w="1383" w:type="dxa"/>
          </w:tcPr>
          <w:p w:rsidR="0084164D" w:rsidRDefault="00020EE3">
            <w:r>
              <w:t>Float</w:t>
            </w:r>
          </w:p>
        </w:tc>
        <w:tc>
          <w:tcPr>
            <w:tcW w:w="5030" w:type="dxa"/>
          </w:tcPr>
          <w:p w:rsidR="0084164D" w:rsidRDefault="00020EE3">
            <w:r>
              <w:t>Hole 6 area – area of hole</w:t>
            </w:r>
          </w:p>
        </w:tc>
      </w:tr>
      <w:tr w:rsidR="00020EE3" w:rsidTr="00020EE3">
        <w:tc>
          <w:tcPr>
            <w:tcW w:w="847" w:type="dxa"/>
          </w:tcPr>
          <w:p w:rsidR="00020EE3" w:rsidRDefault="006E6112" w:rsidP="00020EE3">
            <w:r>
              <w:t>24</w:t>
            </w:r>
          </w:p>
        </w:tc>
        <w:tc>
          <w:tcPr>
            <w:tcW w:w="2090" w:type="dxa"/>
          </w:tcPr>
          <w:p w:rsidR="00020EE3" w:rsidRDefault="00020EE3" w:rsidP="00020EE3">
            <w:r>
              <w:t>SX</w:t>
            </w:r>
          </w:p>
        </w:tc>
        <w:tc>
          <w:tcPr>
            <w:tcW w:w="1383" w:type="dxa"/>
          </w:tcPr>
          <w:p w:rsidR="00020EE3" w:rsidRDefault="00020EE3" w:rsidP="00020EE3">
            <w:r>
              <w:t>Integer</w:t>
            </w:r>
          </w:p>
        </w:tc>
        <w:tc>
          <w:tcPr>
            <w:tcW w:w="5030" w:type="dxa"/>
          </w:tcPr>
          <w:p w:rsidR="00020EE3" w:rsidRDefault="00020EE3" w:rsidP="00020EE3">
            <w:r>
              <w:t>Start X upper left corner of roi (relative to CCD frame)</w:t>
            </w:r>
          </w:p>
        </w:tc>
      </w:tr>
      <w:tr w:rsidR="00020EE3" w:rsidTr="00020EE3">
        <w:tc>
          <w:tcPr>
            <w:tcW w:w="847" w:type="dxa"/>
          </w:tcPr>
          <w:p w:rsidR="00020EE3" w:rsidRDefault="006E6112" w:rsidP="00020EE3">
            <w:r>
              <w:t>25</w:t>
            </w:r>
          </w:p>
        </w:tc>
        <w:tc>
          <w:tcPr>
            <w:tcW w:w="2090" w:type="dxa"/>
          </w:tcPr>
          <w:p w:rsidR="00020EE3" w:rsidRDefault="00020EE3" w:rsidP="00020EE3">
            <w:r>
              <w:t>SY</w:t>
            </w:r>
          </w:p>
        </w:tc>
        <w:tc>
          <w:tcPr>
            <w:tcW w:w="1383" w:type="dxa"/>
          </w:tcPr>
          <w:p w:rsidR="00020EE3" w:rsidRDefault="00020EE3" w:rsidP="00020EE3">
            <w:r>
              <w:t>Integer</w:t>
            </w:r>
          </w:p>
        </w:tc>
        <w:tc>
          <w:tcPr>
            <w:tcW w:w="5030" w:type="dxa"/>
          </w:tcPr>
          <w:p w:rsidR="00020EE3" w:rsidRDefault="00020EE3" w:rsidP="00020EE3">
            <w:r>
              <w:t>Start Y upper left corner of roi (relative to CCD frame)</w:t>
            </w:r>
          </w:p>
        </w:tc>
      </w:tr>
      <w:tr w:rsidR="00020EE3" w:rsidTr="00020EE3">
        <w:tc>
          <w:tcPr>
            <w:tcW w:w="847" w:type="dxa"/>
          </w:tcPr>
          <w:p w:rsidR="00020EE3" w:rsidRDefault="006E6112" w:rsidP="00020EE3">
            <w:r>
              <w:t>26</w:t>
            </w:r>
          </w:p>
        </w:tc>
        <w:tc>
          <w:tcPr>
            <w:tcW w:w="2090" w:type="dxa"/>
          </w:tcPr>
          <w:p w:rsidR="00020EE3" w:rsidRDefault="00020EE3" w:rsidP="00020EE3">
            <w:r>
              <w:t>EX</w:t>
            </w:r>
          </w:p>
        </w:tc>
        <w:tc>
          <w:tcPr>
            <w:tcW w:w="1383" w:type="dxa"/>
          </w:tcPr>
          <w:p w:rsidR="00020EE3" w:rsidRDefault="00020EE3" w:rsidP="00020EE3">
            <w:r>
              <w:t>Integer</w:t>
            </w:r>
          </w:p>
        </w:tc>
        <w:tc>
          <w:tcPr>
            <w:tcW w:w="5030" w:type="dxa"/>
          </w:tcPr>
          <w:p w:rsidR="00020EE3" w:rsidRDefault="00020EE3" w:rsidP="00020EE3">
            <w:r>
              <w:t>End X upper left corner of roi (relative to CCD frame)</w:t>
            </w:r>
          </w:p>
        </w:tc>
      </w:tr>
      <w:tr w:rsidR="00020EE3" w:rsidTr="00020EE3">
        <w:tc>
          <w:tcPr>
            <w:tcW w:w="847" w:type="dxa"/>
          </w:tcPr>
          <w:p w:rsidR="00020EE3" w:rsidRDefault="006E6112" w:rsidP="00020EE3">
            <w:r>
              <w:t>27</w:t>
            </w:r>
          </w:p>
        </w:tc>
        <w:tc>
          <w:tcPr>
            <w:tcW w:w="2090" w:type="dxa"/>
          </w:tcPr>
          <w:p w:rsidR="00020EE3" w:rsidRDefault="00020EE3" w:rsidP="00020EE3">
            <w:r>
              <w:t>EY</w:t>
            </w:r>
          </w:p>
        </w:tc>
        <w:tc>
          <w:tcPr>
            <w:tcW w:w="1383" w:type="dxa"/>
          </w:tcPr>
          <w:p w:rsidR="00020EE3" w:rsidRDefault="00020EE3" w:rsidP="00020EE3">
            <w:r>
              <w:t xml:space="preserve">Integer </w:t>
            </w:r>
          </w:p>
        </w:tc>
        <w:tc>
          <w:tcPr>
            <w:tcW w:w="5030" w:type="dxa"/>
          </w:tcPr>
          <w:p w:rsidR="00020EE3" w:rsidRDefault="00020EE3" w:rsidP="00020EE3">
            <w:r>
              <w:t>End Y upper left corner of roi (relative to CCD frame)</w:t>
            </w:r>
          </w:p>
        </w:tc>
      </w:tr>
    </w:tbl>
    <w:p w:rsidR="00732D06" w:rsidRPr="00732D06" w:rsidRDefault="00732D06">
      <w:pPr>
        <w:rPr>
          <w:sz w:val="20"/>
        </w:rPr>
      </w:pPr>
      <w:r w:rsidRPr="00732D06">
        <w:rPr>
          <w:sz w:val="20"/>
        </w:rPr>
        <w:t>N</w:t>
      </w:r>
      <w:r w:rsidRPr="00732D06">
        <w:rPr>
          <w:rFonts w:hint="eastAsia"/>
          <w:sz w:val="20"/>
        </w:rPr>
        <w:t>o</w:t>
      </w:r>
      <w:r w:rsidRPr="00732D06">
        <w:rPr>
          <w:sz w:val="20"/>
        </w:rPr>
        <w:t xml:space="preserve">te: This table is a copyright from the </w:t>
      </w:r>
      <w:r w:rsidRPr="00732D06">
        <w:rPr>
          <w:i/>
          <w:sz w:val="20"/>
        </w:rPr>
        <w:t>CPI_Post Processing Software Manual_rev1.2_20120116.pdf</w:t>
      </w:r>
      <w:r w:rsidRPr="00732D06">
        <w:rPr>
          <w:sz w:val="20"/>
        </w:rPr>
        <w:t xml:space="preserve"> </w:t>
      </w:r>
      <w:r w:rsidRPr="00732D06">
        <w:rPr>
          <w:sz w:val="20"/>
        </w:rPr>
        <w:t>Page24-27</w:t>
      </w:r>
      <w:r w:rsidRPr="00732D06">
        <w:rPr>
          <w:sz w:val="20"/>
        </w:rPr>
        <w:t>. (</w:t>
      </w:r>
      <w:hyperlink r:id="rId7" w:history="1">
        <w:r w:rsidRPr="00732D06">
          <w:rPr>
            <w:rStyle w:val="a9"/>
            <w:sz w:val="20"/>
          </w:rPr>
          <w:t>http://www.specinc.com/sites/default/files/software_and_manuals/CPI_Post%20Processing%20Software%20Manual_rev1.2_20120116.pdf</w:t>
        </w:r>
      </w:hyperlink>
      <w:r w:rsidRPr="00732D06">
        <w:rPr>
          <w:sz w:val="20"/>
        </w:rPr>
        <w:t>)</w:t>
      </w:r>
      <w:bookmarkStart w:id="1" w:name="_GoBack"/>
      <w:bookmarkEnd w:id="1"/>
    </w:p>
    <w:sectPr w:rsidR="00732D06" w:rsidRPr="0073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96C" w:rsidRDefault="0020196C" w:rsidP="00732D06">
      <w:pPr>
        <w:spacing w:after="0" w:line="240" w:lineRule="auto"/>
      </w:pPr>
      <w:r>
        <w:separator/>
      </w:r>
    </w:p>
  </w:endnote>
  <w:endnote w:type="continuationSeparator" w:id="0">
    <w:p w:rsidR="0020196C" w:rsidRDefault="0020196C" w:rsidP="0073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96C" w:rsidRDefault="0020196C" w:rsidP="00732D06">
      <w:pPr>
        <w:spacing w:after="0" w:line="240" w:lineRule="auto"/>
      </w:pPr>
      <w:r>
        <w:separator/>
      </w:r>
    </w:p>
  </w:footnote>
  <w:footnote w:type="continuationSeparator" w:id="0">
    <w:p w:rsidR="0020196C" w:rsidRDefault="0020196C" w:rsidP="00732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2DEE"/>
    <w:multiLevelType w:val="hybridMultilevel"/>
    <w:tmpl w:val="7214DE68"/>
    <w:lvl w:ilvl="0" w:tplc="6CB0F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46021"/>
    <w:multiLevelType w:val="hybridMultilevel"/>
    <w:tmpl w:val="8E52560A"/>
    <w:lvl w:ilvl="0" w:tplc="D8DA9CB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22F1D"/>
    <w:multiLevelType w:val="hybridMultilevel"/>
    <w:tmpl w:val="A61AE074"/>
    <w:lvl w:ilvl="0" w:tplc="52CE31E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076A5"/>
    <w:multiLevelType w:val="hybridMultilevel"/>
    <w:tmpl w:val="31586314"/>
    <w:lvl w:ilvl="0" w:tplc="9A20470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89"/>
    <w:rsid w:val="00020EE3"/>
    <w:rsid w:val="00167EF9"/>
    <w:rsid w:val="001F779A"/>
    <w:rsid w:val="0020196C"/>
    <w:rsid w:val="005538F5"/>
    <w:rsid w:val="00605A89"/>
    <w:rsid w:val="006E6112"/>
    <w:rsid w:val="00732D06"/>
    <w:rsid w:val="0084164D"/>
    <w:rsid w:val="008E74CC"/>
    <w:rsid w:val="009D6F3F"/>
    <w:rsid w:val="00A44606"/>
    <w:rsid w:val="00B11CA5"/>
    <w:rsid w:val="00F7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66DFE"/>
  <w15:chartTrackingRefBased/>
  <w15:docId w15:val="{92273B55-EF18-44B2-800A-891E1758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EE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32D06"/>
  </w:style>
  <w:style w:type="paragraph" w:styleId="a7">
    <w:name w:val="footer"/>
    <w:basedOn w:val="a"/>
    <w:link w:val="a8"/>
    <w:uiPriority w:val="99"/>
    <w:unhideWhenUsed/>
    <w:rsid w:val="0073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32D06"/>
  </w:style>
  <w:style w:type="character" w:styleId="a9">
    <w:name w:val="Hyperlink"/>
    <w:basedOn w:val="a0"/>
    <w:uiPriority w:val="99"/>
    <w:unhideWhenUsed/>
    <w:rsid w:val="00732D06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732D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ecinc.com/sites/default/files/software_and_manuals/CPI_Post%20Processing%20Software%20Manual_rev1.2_201201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Saisai</dc:creator>
  <cp:keywords/>
  <dc:description/>
  <cp:lastModifiedBy>Ding, Saisai</cp:lastModifiedBy>
  <cp:revision>3</cp:revision>
  <dcterms:created xsi:type="dcterms:W3CDTF">2017-01-19T17:45:00Z</dcterms:created>
  <dcterms:modified xsi:type="dcterms:W3CDTF">2017-03-07T17:52:00Z</dcterms:modified>
</cp:coreProperties>
</file>