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33AE" w14:textId="77777777" w:rsidR="00F92358" w:rsidRDefault="00000000" w:rsidP="00CF2AE7">
      <w:pPr>
        <w:pStyle w:val="FirstParagraph"/>
        <w:jc w:val="both"/>
      </w:pPr>
      <w:r>
        <w:t>Human medulloblastoma (MB) transcriptomic data (n=763) were obtained from GSE85217</w:t>
      </w:r>
      <w:r>
        <w:rPr>
          <w:vertAlign w:val="superscript"/>
        </w:rPr>
        <w:t>1</w:t>
      </w:r>
      <w:r>
        <w:t xml:space="preserve"> (Affymetrix HuGene 1.1 ST), with samples annotated to four molecular subgroups (WNT, SHH, Group 3, Group 4). Mouse MB models included: GSE65888 (n=45, SHH and Group 3 models)</w:t>
      </w:r>
      <w:r>
        <w:rPr>
          <w:vertAlign w:val="superscript"/>
        </w:rPr>
        <w:t>2,3</w:t>
      </w:r>
      <w:r>
        <w:t>; GSE36594 (n=32, GTML MYCN-driven tumors)</w:t>
      </w:r>
      <w:r>
        <w:rPr>
          <w:vertAlign w:val="superscript"/>
        </w:rPr>
        <w:t>4</w:t>
      </w:r>
      <w:r>
        <w:t>; and GSE139240 (n=14, GTML and GMYC MYC/MYCN-driven tumors)</w:t>
      </w:r>
      <w:r>
        <w:rPr>
          <w:vertAlign w:val="superscript"/>
        </w:rPr>
        <w:t>5</w:t>
      </w:r>
      <w:r>
        <w:t>. Zebrafish SHH tumors (n=3, ptch1</w:t>
      </w:r>
      <w:r>
        <w:rPr>
          <w:vertAlign w:val="superscript"/>
        </w:rPr>
        <w:t>-/-</w:t>
      </w:r>
      <w:r>
        <w:t>;tp53</w:t>
      </w:r>
      <w:r>
        <w:rPr>
          <w:vertAlign w:val="superscript"/>
        </w:rPr>
        <w:t>-/-</w:t>
      </w:r>
      <w:r>
        <w:t>) were from GSE242897</w:t>
      </w:r>
      <w:r>
        <w:rPr>
          <w:vertAlign w:val="superscript"/>
        </w:rPr>
        <w:t>6</w:t>
      </w:r>
      <w:r>
        <w:t>. HDMB03 xenografts (n=3, Group 3 cell line) were generated in this study.</w:t>
      </w:r>
    </w:p>
    <w:p w14:paraId="28A5258D" w14:textId="77777777" w:rsidR="00F92358" w:rsidRDefault="00000000" w:rsidP="00CF2AE7">
      <w:pPr>
        <w:pStyle w:val="FirstParagraph"/>
        <w:jc w:val="both"/>
      </w:pPr>
      <w:r>
        <w:t>Mouse-to-human and zebrafish-to-human ortholog mapping was performed using biomaRt</w:t>
      </w:r>
      <w:r>
        <w:rPr>
          <w:vertAlign w:val="superscript"/>
        </w:rPr>
        <w:t>7</w:t>
      </w:r>
      <w:r>
        <w:t>. For zebrafish, we applied the Casey method (&gt;30% protein identity threshold)</w:t>
      </w:r>
      <w:r>
        <w:rPr>
          <w:vertAlign w:val="superscript"/>
        </w:rPr>
        <w:t>6</w:t>
      </w:r>
      <w:r>
        <w:t>. HDMB03 xenografts required no conversion (human cell line).</w:t>
      </w:r>
    </w:p>
    <w:p w14:paraId="707C8C50" w14:textId="1A1CE50A" w:rsidR="00F92358" w:rsidRDefault="00000000" w:rsidP="00CF2AE7">
      <w:pPr>
        <w:pStyle w:val="FirstParagraph"/>
        <w:jc w:val="both"/>
      </w:pPr>
      <w:r>
        <w:t>The top 2,500 most variable genes in human samples were intersected across all species, yielding 929 common genes. Expression data were Z-score normalized using human reference parameters (mean, s.d. per gene). Principal component analysis (PCA) was performed on human samples only; animal samples were projected into human PCA space using the rotation matrix. A Random Forest classifier (ntree=1,000) was trained on PC1–PC20 coordinates using 80% of human samples (training accuracy: 97.4%, OOB error: 2%).</w:t>
      </w:r>
      <w:r w:rsidR="00CF2AE7">
        <w:t xml:space="preserve"> The animals’ datasets were then predicted using this model.</w:t>
      </w:r>
    </w:p>
    <w:p w14:paraId="728650DB" w14:textId="77777777" w:rsidR="00F92358" w:rsidRDefault="00000000" w:rsidP="00CF2AE7">
      <w:pPr>
        <w:pStyle w:val="Titre2"/>
        <w:jc w:val="both"/>
      </w:pPr>
      <w:bookmarkStart w:id="0" w:name="references"/>
      <w:r>
        <w:t>References</w:t>
      </w:r>
      <w:bookmarkEnd w:id="0"/>
    </w:p>
    <w:p w14:paraId="25D8DB8B" w14:textId="77777777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Cavalli, F.M.G. et al. </w:t>
      </w:r>
      <w:r>
        <w:rPr>
          <w:i/>
        </w:rPr>
        <w:t>Cancer Cell</w:t>
      </w:r>
      <w:r>
        <w:t xml:space="preserve"> </w:t>
      </w:r>
      <w:r>
        <w:rPr>
          <w:b/>
        </w:rPr>
        <w:t>31</w:t>
      </w:r>
      <w:r>
        <w:t>, 737–754 (2017).</w:t>
      </w:r>
    </w:p>
    <w:p w14:paraId="0B6B3240" w14:textId="77777777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Kawauchi, D. et al. </w:t>
      </w:r>
      <w:r>
        <w:rPr>
          <w:i/>
        </w:rPr>
        <w:t>Cancer Cell</w:t>
      </w:r>
      <w:r>
        <w:t xml:space="preserve"> </w:t>
      </w:r>
      <w:r>
        <w:rPr>
          <w:b/>
        </w:rPr>
        <w:t>21</w:t>
      </w:r>
      <w:r>
        <w:t>, 168–180 (2012).</w:t>
      </w:r>
    </w:p>
    <w:p w14:paraId="2A73710E" w14:textId="77777777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Kawauchi, D. et al. </w:t>
      </w:r>
      <w:r>
        <w:rPr>
          <w:i/>
        </w:rPr>
        <w:t>Oncogene</w:t>
      </w:r>
      <w:r>
        <w:t xml:space="preserve"> </w:t>
      </w:r>
      <w:r>
        <w:rPr>
          <w:b/>
        </w:rPr>
        <w:t>36</w:t>
      </w:r>
      <w:r>
        <w:t>, 5231–5242 (2017).</w:t>
      </w:r>
    </w:p>
    <w:p w14:paraId="29C4FB95" w14:textId="77777777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Swartling, F.J. et al. </w:t>
      </w:r>
      <w:r>
        <w:rPr>
          <w:i/>
        </w:rPr>
        <w:t>Cancer Cell</w:t>
      </w:r>
      <w:r>
        <w:t xml:space="preserve"> </w:t>
      </w:r>
      <w:r>
        <w:rPr>
          <w:b/>
        </w:rPr>
        <w:t>21</w:t>
      </w:r>
      <w:r>
        <w:t>, 601–613 (2012).</w:t>
      </w:r>
    </w:p>
    <w:p w14:paraId="04F44046" w14:textId="77777777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Mainwaring, L.A. et al. </w:t>
      </w:r>
      <w:r>
        <w:rPr>
          <w:i/>
        </w:rPr>
        <w:t>Nat. Commun.</w:t>
      </w:r>
      <w:r>
        <w:t xml:space="preserve"> </w:t>
      </w:r>
      <w:r>
        <w:rPr>
          <w:b/>
        </w:rPr>
        <w:t>14</w:t>
      </w:r>
      <w:r>
        <w:t>, 5323 (2023).</w:t>
      </w:r>
    </w:p>
    <w:p w14:paraId="2952794D" w14:textId="77777777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Casey, M.J. et al. </w:t>
      </w:r>
      <w:r>
        <w:rPr>
          <w:i/>
        </w:rPr>
        <w:t>Cell Rep.</w:t>
      </w:r>
      <w:r>
        <w:t xml:space="preserve"> (2024).</w:t>
      </w:r>
    </w:p>
    <w:p w14:paraId="28D0CEC9" w14:textId="0BDC0B95" w:rsidR="00F92358" w:rsidRDefault="00000000" w:rsidP="00CF2AE7">
      <w:pPr>
        <w:pStyle w:val="Compact"/>
        <w:numPr>
          <w:ilvl w:val="0"/>
          <w:numId w:val="2"/>
        </w:numPr>
        <w:jc w:val="both"/>
      </w:pPr>
      <w:r>
        <w:t>Durinck, S. et al. </w:t>
      </w:r>
      <w:r>
        <w:rPr>
          <w:i/>
        </w:rPr>
        <w:t>Nat. Protoc.</w:t>
      </w:r>
      <w:r>
        <w:t xml:space="preserve"> </w:t>
      </w:r>
      <w:r>
        <w:rPr>
          <w:b/>
        </w:rPr>
        <w:t>4</w:t>
      </w:r>
      <w:r>
        <w:t>, 1184–1191 (2009).</w:t>
      </w:r>
    </w:p>
    <w:sectPr w:rsidR="00F92358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65FED" w14:textId="77777777" w:rsidR="00491D32" w:rsidRDefault="00491D32">
      <w:pPr>
        <w:spacing w:after="0"/>
      </w:pPr>
      <w:r>
        <w:separator/>
      </w:r>
    </w:p>
  </w:endnote>
  <w:endnote w:type="continuationSeparator" w:id="0">
    <w:p w14:paraId="4D93B0BB" w14:textId="77777777" w:rsidR="00491D32" w:rsidRDefault="00491D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B942" w14:textId="77777777" w:rsidR="00491D32" w:rsidRDefault="00491D32">
      <w:r>
        <w:separator/>
      </w:r>
    </w:p>
  </w:footnote>
  <w:footnote w:type="continuationSeparator" w:id="0">
    <w:p w14:paraId="512F4797" w14:textId="77777777" w:rsidR="00491D32" w:rsidRDefault="00491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6FA22A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1A6C9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8197656">
    <w:abstractNumId w:val="1"/>
  </w:num>
  <w:num w:numId="2" w16cid:durableId="792596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91D32"/>
    <w:rsid w:val="004E29B3"/>
    <w:rsid w:val="00590D07"/>
    <w:rsid w:val="00784D58"/>
    <w:rsid w:val="008D6863"/>
    <w:rsid w:val="00B86B75"/>
    <w:rsid w:val="00BC48D5"/>
    <w:rsid w:val="00C36279"/>
    <w:rsid w:val="00CF2AE7"/>
    <w:rsid w:val="00DF3F66"/>
    <w:rsid w:val="00E315A3"/>
    <w:rsid w:val="00F923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A8DE5"/>
  <w15:docId w15:val="{7F59C9ED-376D-C646-A6D4-691D723A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Ludovic Telley</dc:creator>
  <cp:keywords/>
  <cp:lastModifiedBy>Ludovic Telley</cp:lastModifiedBy>
  <cp:revision>2</cp:revision>
  <dcterms:created xsi:type="dcterms:W3CDTF">2026-02-26T13:50:00Z</dcterms:created>
  <dcterms:modified xsi:type="dcterms:W3CDTF">2026-02-26T13:50:00Z</dcterms:modified>
</cp:coreProperties>
</file>