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752BC81B"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2"/>
      <w:commentRangeStart w:id="3"/>
      <w:commentRangeStart w:id="4"/>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2"/>
      <w:r w:rsidRPr="005D1FF6">
        <w:rPr>
          <w:rStyle w:val="CommentReference"/>
          <w:rFonts w:ascii="Arial" w:eastAsia="Arial" w:hAnsi="Arial" w:cs="Arial"/>
          <w:highlight w:val="lightGray"/>
        </w:rPr>
        <w:commentReference w:id="2"/>
      </w:r>
      <w:commentRangeEnd w:id="3"/>
      <w:r w:rsidR="005D1FF6"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Pr="003A5112">
        <w:rPr>
          <w:rFonts w:ascii="Arial" w:hAnsi="Arial" w:cs="Arial"/>
          <w:sz w:val="22"/>
          <w:szCs w:val="22"/>
          <w:highlight w:val="green"/>
          <w:lang w:val="en-GB"/>
        </w:rPr>
        <w: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yearly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595DC22A"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39F94B41"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5"/>
      <w:commentRangeStart w:id="6"/>
      <w:r w:rsidRPr="003A5112">
        <w:rPr>
          <w:rFonts w:ascii="Arial" w:hAnsi="Arial" w:cs="Arial"/>
          <w:sz w:val="22"/>
          <w:szCs w:val="22"/>
        </w:rPr>
        <w:t>vegetation</w:t>
      </w:r>
      <w:commentRangeEnd w:id="5"/>
      <w:r w:rsidRPr="003A5112">
        <w:rPr>
          <w:rStyle w:val="CommentReference"/>
          <w:rFonts w:ascii="Arial" w:hAnsi="Arial" w:cs="Arial"/>
          <w:sz w:val="22"/>
          <w:szCs w:val="22"/>
        </w:rPr>
        <w:commentReference w:id="5"/>
      </w:r>
      <w:commentRangeEnd w:id="6"/>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M.&amp;McNaughton</w:t>
      </w:r>
      <w:proofErr w:type="spellEnd"/>
      <w:r w:rsidR="007D5DE2" w:rsidRPr="003A5112">
        <w:rPr>
          <w:rFonts w:ascii="Arial" w:hAnsi="Arial" w:cs="Arial"/>
          <w:sz w:val="22"/>
          <w:szCs w:val="22"/>
          <w:lang w:val="en-GB"/>
        </w:rPr>
        <w:t>, S. J</w:t>
      </w:r>
      <w:r w:rsidR="00485EB7" w:rsidRPr="003A5112">
        <w:rPr>
          <w:rFonts w:ascii="Arial" w:hAnsi="Arial" w:cs="Arial"/>
          <w:sz w:val="22"/>
          <w:szCs w:val="22"/>
          <w:lang w:val="en-GB"/>
        </w:rPr>
        <w:t>.</w:t>
      </w:r>
      <w:r w:rsidRPr="003A5112">
        <w:rPr>
          <w:rFonts w:ascii="Arial" w:hAnsi="Arial" w:cs="Arial"/>
          <w:sz w:val="22"/>
          <w:szCs w:val="22"/>
        </w:rPr>
        <w:t>)</w:t>
      </w:r>
      <w:r w:rsidRPr="003A5112">
        <w:rPr>
          <w:rStyle w:val="CommentReference"/>
          <w:rFonts w:ascii="Arial" w:hAnsi="Arial" w:cs="Arial"/>
          <w:sz w:val="22"/>
          <w:szCs w:val="22"/>
        </w:rPr>
        <w:commentReference w:id="6"/>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7"/>
      <w:r w:rsidRPr="003A5112">
        <w:rPr>
          <w:rFonts w:ascii="Arial" w:hAnsi="Arial" w:cs="Arial"/>
          <w:b/>
          <w:sz w:val="22"/>
          <w:szCs w:val="22"/>
        </w:rPr>
        <w:t>Methods</w:t>
      </w:r>
      <w:commentRangeEnd w:id="7"/>
      <w:r w:rsidR="00574DD4">
        <w:rPr>
          <w:rStyle w:val="CommentReference"/>
          <w:rFonts w:ascii="Arial" w:eastAsia="Arial" w:hAnsi="Arial" w:cs="Arial"/>
        </w:rPr>
        <w:commentReference w:id="7"/>
      </w:r>
      <w:bookmarkStart w:id="8" w:name="_GoBack"/>
      <w:bookmarkEnd w:id="8"/>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1FCBABA8"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r w:rsidRPr="008D49F1">
        <w:rPr>
          <w:rFonts w:ascii="Arial" w:hAnsi="Arial" w:cs="Arial"/>
          <w:bCs/>
          <w:strike/>
          <w:color w:val="000000" w:themeColor="text1"/>
        </w:rPr>
        <w:t xml:space="preserve"> </w:t>
      </w:r>
      <w:r w:rsidRPr="008D49F1">
        <w:rPr>
          <w:rFonts w:ascii="Arial" w:hAnsi="Arial" w:cs="Arial"/>
          <w:bCs/>
          <w:strike/>
          <w:color w:val="000000" w:themeColor="text1"/>
          <w:highlight w:val="lightGray"/>
        </w:rPr>
        <w:t>(here in the pre-treatment year)</w:t>
      </w:r>
      <w:r w:rsidRPr="003A5112">
        <w:rPr>
          <w:rFonts w:ascii="Arial" w:hAnsi="Arial" w:cs="Arial"/>
          <w:bCs/>
          <w:color w:val="000000" w:themeColor="text1"/>
        </w:rPr>
        <w:t xml:space="preserve">.  We then classify each species </w:t>
      </w:r>
      <w:r w:rsidRPr="00090D46">
        <w:rPr>
          <w:rFonts w:ascii="Arial" w:hAnsi="Arial" w:cs="Arial"/>
          <w:bCs/>
          <w:strike/>
          <w:color w:val="000000" w:themeColor="text1"/>
          <w:highlight w:val="lightGray"/>
        </w:rPr>
        <w:t>at each site</w:t>
      </w:r>
      <w:r w:rsidRPr="003A5112">
        <w:rPr>
          <w:rFonts w:ascii="Arial" w:hAnsi="Arial" w:cs="Arial"/>
          <w:bCs/>
          <w:color w:val="000000" w:themeColor="text1"/>
        </w:rPr>
        <w:t xml:space="preserve"> based on their relative abundance </w:t>
      </w:r>
      <w:r w:rsidRPr="008D49F1">
        <w:rPr>
          <w:rFonts w:ascii="Arial" w:hAnsi="Arial" w:cs="Arial"/>
          <w:bCs/>
          <w:strike/>
          <w:color w:val="000000" w:themeColor="text1"/>
          <w:highlight w:val="lightGray"/>
        </w:rPr>
        <w:t xml:space="preserve">as rare, subordinate, or dominant, based on the cut-offs shown </w:t>
      </w:r>
      <w:commentRangeStart w:id="9"/>
      <w:r w:rsidRPr="008D49F1">
        <w:rPr>
          <w:rFonts w:ascii="Arial" w:hAnsi="Arial" w:cs="Arial"/>
          <w:b/>
          <w:bCs/>
          <w:strike/>
          <w:color w:val="000000" w:themeColor="text1"/>
          <w:highlight w:val="lightGray"/>
        </w:rPr>
        <w:t>Figure SX</w:t>
      </w:r>
      <w:commentRangeEnd w:id="9"/>
      <w:r w:rsidRPr="008D49F1">
        <w:rPr>
          <w:rStyle w:val="CommentReference"/>
          <w:rFonts w:ascii="Arial" w:eastAsia="Arial" w:hAnsi="Arial" w:cs="Arial"/>
          <w:strike/>
          <w:highlight w:val="lightGray"/>
        </w:rPr>
        <w:commentReference w:id="9"/>
      </w:r>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168279CF" w14:textId="2DE8799B" w:rsidR="00EF09A2" w:rsidRPr="003A5112" w:rsidRDefault="00EF09A2" w:rsidP="006222BB">
      <w:pPr>
        <w:ind w:firstLine="720"/>
        <w:rPr>
          <w:rFonts w:ascii="Arial" w:hAnsi="Arial" w:cs="Arial"/>
          <w:bCs/>
          <w:color w:val="000000" w:themeColor="text1"/>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xml:space="preserve">, we use two sets of cut-offs </w:t>
      </w:r>
      <w:r w:rsidRPr="008D49F1">
        <w:rPr>
          <w:rFonts w:ascii="Arial" w:hAnsi="Arial" w:cs="Arial"/>
          <w:bCs/>
          <w:strike/>
          <w:color w:val="000000" w:themeColor="text1"/>
          <w:highlight w:val="lightGray"/>
        </w:rPr>
        <w:t>applied</w:t>
      </w:r>
      <w:r w:rsidRPr="008D49F1">
        <w:rPr>
          <w:rFonts w:ascii="Arial" w:hAnsi="Arial" w:cs="Arial"/>
          <w:bCs/>
          <w:strike/>
          <w:color w:val="000000" w:themeColor="text1"/>
        </w:rPr>
        <w:t xml:space="preserve">, </w:t>
      </w:r>
      <w:r w:rsidRPr="003A5112">
        <w:rPr>
          <w:rFonts w:ascii="Arial" w:hAnsi="Arial" w:cs="Arial"/>
          <w:bCs/>
          <w:color w:val="000000" w:themeColor="text1"/>
        </w:rPr>
        <w:t xml:space="preserve">to assess the sensitivity of the results to this grouping decision. </w:t>
      </w:r>
      <w:r w:rsidRPr="00EC6752">
        <w:rPr>
          <w:rFonts w:ascii="Arial" w:hAnsi="Arial" w:cs="Arial"/>
          <w:bCs/>
          <w:strike/>
          <w:color w:val="000000" w:themeColor="text1"/>
          <w:highlight w:val="lightGray"/>
        </w:rPr>
        <w:t>The cut-offs</w:t>
      </w:r>
      <w:r w:rsidR="008D49F1" w:rsidRPr="00EC6752">
        <w:rPr>
          <w:rFonts w:ascii="Arial" w:hAnsi="Arial" w:cs="Arial"/>
          <w:bCs/>
          <w:strike/>
          <w:color w:val="000000" w:themeColor="text1"/>
          <w:highlight w:val="lightGray"/>
        </w:rPr>
        <w:t>,</w:t>
      </w:r>
      <w:r w:rsidRPr="00EC6752">
        <w:rPr>
          <w:rFonts w:ascii="Arial" w:hAnsi="Arial" w:cs="Arial"/>
          <w:bCs/>
          <w:strike/>
          <w:color w:val="000000" w:themeColor="text1"/>
          <w:highlight w:val="lightGray"/>
        </w:rPr>
        <w:t xml:space="preserve"> and thus the grouping assignments were applied to each species at the site</w:t>
      </w:r>
      <w:r w:rsidR="008D49F1" w:rsidRPr="00EC6752">
        <w:rPr>
          <w:rFonts w:ascii="Arial" w:hAnsi="Arial" w:cs="Arial"/>
          <w:bCs/>
          <w:strike/>
          <w:color w:val="000000" w:themeColor="text1"/>
          <w:highlight w:val="lightGray"/>
        </w:rPr>
        <w:t xml:space="preserve"> plot</w:t>
      </w:r>
      <w:r w:rsidRPr="00EC6752">
        <w:rPr>
          <w:rFonts w:ascii="Arial" w:hAnsi="Arial" w:cs="Arial"/>
          <w:bCs/>
          <w:strike/>
          <w:color w:val="000000" w:themeColor="text1"/>
          <w:highlight w:val="lightGray"/>
        </w:rPr>
        <w:t xml:space="preserve"> level.</w:t>
      </w:r>
      <w:r w:rsidRPr="003A5112">
        <w:rPr>
          <w:rFonts w:ascii="Arial" w:hAnsi="Arial" w:cs="Arial"/>
          <w:bCs/>
          <w:color w:val="000000" w:themeColor="text1"/>
        </w:rPr>
        <w:t xml:space="preserve"> 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w:t>
      </w:r>
      <w:r w:rsidRPr="003A5112">
        <w:rPr>
          <w:rFonts w:ascii="Arial" w:hAnsi="Arial" w:cs="Arial"/>
          <w:bCs/>
          <w:color w:val="000000" w:themeColor="text1"/>
        </w:rPr>
        <w:lastRenderedPageBreak/>
        <w:t xml:space="preserve">Figure SXB). </w:t>
      </w:r>
      <w:commentRangeStart w:id="10"/>
      <w:r w:rsidRPr="003A5112">
        <w:rPr>
          <w:rFonts w:ascii="Arial" w:hAnsi="Arial" w:cs="Arial"/>
          <w:bCs/>
          <w:color w:val="000000" w:themeColor="text1"/>
        </w:rPr>
        <w:t xml:space="preserve">With these groups, we then assess changes in the number of species in each group per plot through time and in response to each nutrient addition treatment, as well as changes in the cover of these groups of species per plot through time and in response to each treatment. </w:t>
      </w:r>
      <w:commentRangeEnd w:id="10"/>
      <w:r w:rsidRPr="003A5112">
        <w:rPr>
          <w:rStyle w:val="CommentReference"/>
          <w:rFonts w:ascii="Arial" w:eastAsia="Arial" w:hAnsi="Arial" w:cs="Arial"/>
        </w:rPr>
        <w:commentReference w:id="10"/>
      </w:r>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1"/>
      <w:r w:rsidRPr="003A5112">
        <w:rPr>
          <w:rFonts w:ascii="Arial" w:hAnsi="Arial" w:cs="Arial"/>
          <w:bCs/>
          <w:i/>
          <w:iCs/>
          <w:color w:val="000000" w:themeColor="text1"/>
        </w:rPr>
        <w:t>remaining</w:t>
      </w:r>
      <w:commentRangeEnd w:id="11"/>
      <w:r w:rsidR="003A5112" w:rsidRPr="003A5112">
        <w:rPr>
          <w:rStyle w:val="CommentReference"/>
          <w:rFonts w:ascii="Arial" w:eastAsia="Arial" w:hAnsi="Arial" w:cs="Arial"/>
        </w:rPr>
        <w:commentReference w:id="11"/>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02432556" w:rsidR="007C0AD3" w:rsidRPr="00E653A4" w:rsidRDefault="007C0AD3"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Two models are formed: one for modeling the probability of loss </w:t>
      </w:r>
      <w:r w:rsidR="00A32F4A" w:rsidRPr="00E653A4">
        <w:rPr>
          <w:rFonts w:ascii="Arial" w:hAnsi="Arial" w:cs="Arial"/>
          <w:bCs/>
          <w:color w:val="000000" w:themeColor="text1"/>
          <w:highlight w:val="lightGray"/>
        </w:rPr>
        <w:t xml:space="preserve">at the end of the study </w:t>
      </w:r>
      <w:r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r w:rsidRPr="00E653A4">
        <w:rPr>
          <w:rFonts w:ascii="Arial" w:hAnsi="Arial" w:cs="Arial"/>
          <w:bCs/>
          <w:color w:val="000000" w:themeColor="text1"/>
          <w:highlight w:val="lightGray"/>
        </w:rPr>
        <w:t xml:space="preserve">given the species’ </w:t>
      </w:r>
      <w:r w:rsidR="00A32F4A" w:rsidRPr="00E653A4">
        <w:rPr>
          <w:rFonts w:ascii="Arial" w:hAnsi="Arial" w:cs="Arial"/>
          <w:bCs/>
          <w:color w:val="000000" w:themeColor="text1"/>
          <w:highlight w:val="lightGray"/>
        </w:rPr>
        <w:t xml:space="preserve">relative </w:t>
      </w:r>
      <w:r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714561D5"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lost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treatment. </w:t>
      </w:r>
      <w:proofErr w:type="gramStart"/>
      <w:r w:rsidR="005E3E5A" w:rsidRPr="00E653A4">
        <w:rPr>
          <w:rFonts w:ascii="Arial" w:hAnsi="Arial" w:cs="Arial"/>
          <w:bCs/>
          <w:color w:val="000000" w:themeColor="text1"/>
          <w:highlight w:val="lightGray"/>
        </w:rPr>
        <w:t>In particular, we</w:t>
      </w:r>
      <w:proofErr w:type="gramEnd"/>
      <w:r w:rsidR="005E3E5A" w:rsidRPr="00E653A4">
        <w:rPr>
          <w:rFonts w:ascii="Arial" w:hAnsi="Arial" w:cs="Arial"/>
          <w:bCs/>
          <w:color w:val="000000" w:themeColor="text1"/>
          <w:highlight w:val="lightGray"/>
        </w:rPr>
        <w:t xml:space="preserv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and treatment.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5B09AA"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5B09AA"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E27D27"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E27D27"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w:t>
      </w:r>
      <w:proofErr w:type="spellStart"/>
      <w:r w:rsidRPr="00E653A4">
        <w:rPr>
          <w:rFonts w:ascii="Arial" w:hAnsi="Arial" w:cs="Arial"/>
          <w:bCs/>
          <w:color w:val="000000" w:themeColor="text1"/>
          <w:highlight w:val="lightGray"/>
        </w:rPr>
        <w:t>ndexes</w:t>
      </w:r>
      <w:proofErr w:type="spellEnd"/>
      <w:r w:rsidRPr="00E653A4">
        <w:rPr>
          <w:rFonts w:ascii="Arial" w:hAnsi="Arial" w:cs="Arial"/>
          <w:bCs/>
          <w:color w:val="000000" w:themeColor="text1"/>
          <w:highlight w:val="lightGray"/>
        </w:rPr>
        <w:t xml:space="preserve">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w:t>
      </w:r>
      <w:proofErr w:type="gramStart"/>
      <w:r w:rsidRPr="00E653A4">
        <w:rPr>
          <w:rFonts w:ascii="Arial" w:hAnsi="Arial" w:cs="Arial"/>
          <w:bCs/>
          <w:color w:val="000000" w:themeColor="text1"/>
          <w:highlight w:val="lightGray"/>
        </w:rPr>
        <w:t>plots</w:t>
      </w:r>
      <w:proofErr w:type="gramEnd"/>
      <w:r w:rsidRPr="00E653A4">
        <w:rPr>
          <w:rFonts w:ascii="Arial" w:hAnsi="Arial" w:cs="Arial"/>
          <w:bCs/>
          <w:color w:val="000000" w:themeColor="text1"/>
          <w:highlight w:val="lightGray"/>
        </w:rPr>
        <w:t xml:space="preserve">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09A12C28" w:rsidR="005B09AA" w:rsidRPr="00E653A4" w:rsidRDefault="005B09A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On the other hand,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w:t>
      </w:r>
      <w:proofErr w:type="gramStart"/>
      <w:r w:rsidRPr="00E653A4">
        <w:rPr>
          <w:rFonts w:ascii="Arial" w:hAnsi="Arial" w:cs="Arial"/>
          <w:bCs/>
          <w:color w:val="000000" w:themeColor="text1"/>
          <w:highlight w:val="lightGray"/>
        </w:rPr>
        <w:t>in a given year</w:t>
      </w:r>
      <w:proofErr w:type="gramEnd"/>
      <w:r w:rsidRPr="00E653A4">
        <w:rPr>
          <w:rFonts w:ascii="Arial" w:hAnsi="Arial" w:cs="Arial"/>
          <w:bCs/>
          <w:color w:val="000000" w:themeColor="text1"/>
          <w:highlight w:val="lightGray"/>
        </w:rPr>
        <w:t xml:space="preserve"> if it is present the prior year and 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2367D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r>
                        <w:rPr>
                          <w:rFonts w:ascii="Cambria Math" w:eastAsiaTheme="minorEastAsia" w:hAnsi="Cambria Math" w:cs="Arial"/>
                          <w:color w:val="000000" w:themeColor="text1"/>
                          <w:highlight w:val="lightGray"/>
                        </w:rPr>
                        <m:t xml:space="preserve">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r>
                <w:rPr>
                  <w:rFonts w:ascii="Cambria Math" w:eastAsiaTheme="minorEastAsia" w:hAnsi="Cambria Math" w:cs="Arial"/>
                  <w:color w:val="000000" w:themeColor="text1"/>
                  <w:highlight w:val="lightGray"/>
                </w:rPr>
                <m:t xml:space="preserve">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abundance </m:t>
                      </m:r>
                      <m:r>
                        <w:rPr>
                          <w:rFonts w:ascii="Cambria Math" w:eastAsiaTheme="minorEastAsia" w:hAnsi="Cambria Math" w:cs="Arial"/>
                          <w:color w:val="000000" w:themeColor="text1"/>
                          <w:highlight w:val="lightGray"/>
                        </w:rPr>
                        <m:t>rank</m:t>
                      </m:r>
                      <m:r>
                        <w:rPr>
                          <w:rFonts w:ascii="Cambria Math" w:eastAsiaTheme="minorEastAsia" w:hAnsi="Cambria Math" w:cs="Arial"/>
                          <w:color w:val="000000" w:themeColor="text1"/>
                          <w:highlight w:val="lightGray"/>
                        </w:rPr>
                        <m:t xml:space="preserve"> at time t-1</m:t>
                      </m:r>
                      <m:r>
                        <w:rPr>
                          <w:rFonts w:ascii="Cambria Math" w:eastAsiaTheme="minorEastAsia" w:hAnsi="Cambria Math" w:cs="Arial"/>
                          <w:color w:val="000000" w:themeColor="text1"/>
                          <w:highlight w:val="lightGray"/>
                        </w:rPr>
                        <m:t>*treatment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2367D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2367D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2367D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w:t>
      </w:r>
      <w:proofErr w:type="gramStart"/>
      <w:r w:rsidRPr="00E653A4">
        <w:rPr>
          <w:rFonts w:ascii="Arial" w:eastAsiaTheme="minorEastAsia" w:hAnsi="Arial" w:cs="Arial"/>
          <w:bCs/>
          <w:color w:val="000000" w:themeColor="text1"/>
          <w:highlight w:val="lightGray"/>
        </w:rPr>
        <w:t>10.</w:t>
      </w:r>
      <w:proofErr w:type="gramEnd"/>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lastRenderedPageBreak/>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3"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w:t>
      </w:r>
      <w:proofErr w:type="spellStart"/>
      <w:r>
        <w:t>ProcessCover-FullNutNetData-NonRandomLossPaper.R</w:t>
      </w:r>
      <w:proofErr w:type="spellEnd"/>
      <w:r>
        <w:t>, lines 108, 116, and 155</w:t>
      </w:r>
    </w:p>
  </w:comment>
  <w:comment w:id="4" w:author="nathan hwangbo" w:date="2020-07-20T13:10:00Z" w:initials="nh">
    <w:p w14:paraId="0628023E" w14:textId="47EAAA36" w:rsidR="005D1FF6" w:rsidRDefault="005D1FF6">
      <w:pPr>
        <w:pStyle w:val="CommentText"/>
      </w:pPr>
      <w:r>
        <w:rPr>
          <w:rStyle w:val="CommentReference"/>
        </w:rPr>
        <w:annotationRef/>
      </w:r>
    </w:p>
  </w:comment>
  <w:comment w:id="5"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6"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7"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9"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10" w:author="Laura Dee" w:date="2020-07-06T14:21:00Z" w:initials="LD">
    <w:p w14:paraId="167A9FDA" w14:textId="77777777" w:rsidR="00EF09A2" w:rsidRDefault="00EF09A2" w:rsidP="00EF09A2">
      <w:pPr>
        <w:pStyle w:val="CommentText"/>
      </w:pPr>
      <w:r>
        <w:rPr>
          <w:rStyle w:val="CommentReference"/>
        </w:rPr>
        <w:annotationRef/>
      </w:r>
      <w:r>
        <w:t xml:space="preserve">Update </w:t>
      </w:r>
    </w:p>
  </w:comment>
  <w:comment w:id="11" w:author="Laura Dee" w:date="2020-07-10T16:13:00Z" w:initials="LD">
    <w:p w14:paraId="71604A04" w14:textId="2E6F23EE" w:rsidR="003A5112" w:rsidRDefault="003A5112">
      <w:pPr>
        <w:pStyle w:val="CommentText"/>
      </w:pPr>
      <w:r>
        <w:rPr>
          <w:rStyle w:val="CommentReference"/>
        </w:rPr>
        <w:annotationRef/>
      </w:r>
      <w:r>
        <w:t>Nathan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C7DDD" w15:done="0"/>
  <w15:commentEx w15:paraId="2D1EE536" w15:done="0"/>
  <w15:commentEx w15:paraId="6A248F7C" w15:done="0"/>
  <w15:commentEx w15:paraId="4A946D74" w15:paraIdParent="6A248F7C" w15:done="0"/>
  <w15:commentEx w15:paraId="0628023E" w15:paraIdParent="6A248F7C" w15:done="0"/>
  <w15:commentEx w15:paraId="29F11059" w15:done="0"/>
  <w15:commentEx w15:paraId="200CECB1" w15:paraIdParent="29F11059" w15:done="0"/>
  <w15:commentEx w15:paraId="2111F5C1" w15:done="0"/>
  <w15:commentEx w15:paraId="2AE10B48" w15:done="0"/>
  <w15:commentEx w15:paraId="167A9FDA" w15:done="0"/>
  <w15:commentEx w15:paraId="71604A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B2D3D1" w16cex:dateUtc="2020-07-10T17:47:00Z"/>
  <w16cex:commentExtensible w16cex:durableId="22B30F73" w16cex:dateUtc="2020-07-10T22:01:00Z"/>
  <w16cex:commentExtensible w16cex:durableId="22B3127F" w16cex:dateUtc="2020-07-10T22:14:00Z"/>
  <w16cex:commentExtensible w16cex:durableId="22ADB228" w16cex:dateUtc="2020-07-06T20:22:00Z"/>
  <w16cex:commentExtensible w16cex:durableId="22ADB206" w16cex:dateUtc="2020-07-06T20:21:00Z"/>
  <w16cex:commentExtensible w16cex:durableId="22B31233" w16cex:dateUtc="2020-07-10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C7DDD" w16cid:durableId="22B2D4C6"/>
  <w16cid:commentId w16cid:paraId="2D1EE536" w16cid:durableId="22BFF394"/>
  <w16cid:commentId w16cid:paraId="6A248F7C" w16cid:durableId="22B2D3D1"/>
  <w16cid:commentId w16cid:paraId="4A946D74" w16cid:durableId="22C0152A"/>
  <w16cid:commentId w16cid:paraId="0628023E" w16cid:durableId="22C01642"/>
  <w16cid:commentId w16cid:paraId="29F11059" w16cid:durableId="21EF9203"/>
  <w16cid:commentId w16cid:paraId="200CECB1" w16cid:durableId="21EF9202"/>
  <w16cid:commentId w16cid:paraId="2111F5C1" w16cid:durableId="22B3127F"/>
  <w16cid:commentId w16cid:paraId="2AE10B48" w16cid:durableId="22ADB228"/>
  <w16cid:commentId w16cid:paraId="167A9FDA" w16cid:durableId="22ADB206"/>
  <w16cid:commentId w16cid:paraId="71604A04" w16cid:durableId="22B312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0000000000000000000"/>
    <w:charset w:val="00"/>
    <w:family w:val="auto"/>
    <w:notTrueType/>
    <w:pitch w:val="default"/>
    <w:sig w:usb0="00000003" w:usb1="00000000" w:usb2="00000000" w:usb3="00000000" w:csb0="00000001" w:csb1="00000000"/>
  </w:font>
  <w:font w:name="AdvOTbdfd27ae.B">
    <w:altName w:val="Times New Roman"/>
    <w:panose1 w:val="00000000000000000000"/>
    <w:charset w:val="00"/>
    <w:family w:val="auto"/>
    <w:notTrueType/>
    <w:pitch w:val="default"/>
    <w:sig w:usb0="00000003" w:usb1="00000000" w:usb2="00000000" w:usb3="00000000" w:csb0="00000001" w:csb1="00000000"/>
  </w:font>
  <w:font w:name="AdvOT6f8dc4dc.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90D46"/>
    <w:rsid w:val="000A490F"/>
    <w:rsid w:val="001C7752"/>
    <w:rsid w:val="002367D2"/>
    <w:rsid w:val="003A5112"/>
    <w:rsid w:val="00434C44"/>
    <w:rsid w:val="00454E15"/>
    <w:rsid w:val="00485EB7"/>
    <w:rsid w:val="00574DD4"/>
    <w:rsid w:val="00576095"/>
    <w:rsid w:val="005A1D81"/>
    <w:rsid w:val="005B09AA"/>
    <w:rsid w:val="005D1FF6"/>
    <w:rsid w:val="005E206C"/>
    <w:rsid w:val="005E3E5A"/>
    <w:rsid w:val="005F16CD"/>
    <w:rsid w:val="006222BB"/>
    <w:rsid w:val="0068369B"/>
    <w:rsid w:val="006A4C13"/>
    <w:rsid w:val="00754FA4"/>
    <w:rsid w:val="007C0AD3"/>
    <w:rsid w:val="007C6CDB"/>
    <w:rsid w:val="007D5DE2"/>
    <w:rsid w:val="00804724"/>
    <w:rsid w:val="008D12A6"/>
    <w:rsid w:val="008D49F1"/>
    <w:rsid w:val="00964FDC"/>
    <w:rsid w:val="00A32F4A"/>
    <w:rsid w:val="00A546C9"/>
    <w:rsid w:val="00AC6D5C"/>
    <w:rsid w:val="00AD14E4"/>
    <w:rsid w:val="00AE72B9"/>
    <w:rsid w:val="00AF7F4D"/>
    <w:rsid w:val="00C64711"/>
    <w:rsid w:val="00C74CDF"/>
    <w:rsid w:val="00CF4871"/>
    <w:rsid w:val="00DF79EC"/>
    <w:rsid w:val="00E22EF5"/>
    <w:rsid w:val="00E27D27"/>
    <w:rsid w:val="00E54EDB"/>
    <w:rsid w:val="00E653A4"/>
    <w:rsid w:val="00E720DA"/>
    <w:rsid w:val="00EC6752"/>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nathan hwangbo</cp:lastModifiedBy>
  <cp:revision>25</cp:revision>
  <dcterms:created xsi:type="dcterms:W3CDTF">2020-07-10T21:59:00Z</dcterms:created>
  <dcterms:modified xsi:type="dcterms:W3CDTF">2020-07-20T23:52:00Z</dcterms:modified>
</cp:coreProperties>
</file>