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line="240" w:lineRule="auto"/>
        <w:ind w:left="0" w:firstLine="0"/>
        <w:jc w:val="center"/>
        <w:rPr>
          <w:b w:val="1"/>
          <w:bCs w:val="1"/>
          <w:sz w:val="24"/>
          <w:szCs w:val="24"/>
        </w:rPr>
      </w:pPr>
      <w:bookmarkStart w:colFirst="0" w:colLast="0" w:name="_ubdc9q10jsma" w:id="0"/>
      <w:bookmarkEnd w:id="0"/>
      <w:r w:rsidDel="00000000" w:rsidR="00000000" w:rsidRPr="00000000">
        <w:rPr>
          <w:b w:val="1"/>
          <w:bCs w:val="1"/>
          <w:sz w:val="24"/>
          <w:szCs w:val="24"/>
          <w:rtl w:val="0"/>
        </w:rPr>
        <w:t xml:space="preserve">T</w:t>
      </w:r>
      <w:r w:rsidDel="00000000" w:rsidR="00000000" w:rsidRPr="00000000">
        <w:rPr>
          <w:b w:val="1"/>
          <w:bCs w:val="1"/>
          <w:sz w:val="24"/>
          <w:szCs w:val="24"/>
          <w:rtl w:val="0"/>
        </w:rPr>
        <w:t xml:space="preserve">esting the limits of estimating ecosystem fluxes with NEON flux towers: When and where does the gradient flux method work?</w:t>
      </w:r>
      <w:r w:rsidDel="00000000" w:rsidR="00000000" w:rsidRPr="00000000">
        <w:rPr>
          <w:rtl w:val="0"/>
        </w:rPr>
      </w:r>
    </w:p>
    <w:p w:rsidR="00000000" w:rsidDel="00000000" w:rsidP="00000000" w:rsidRDefault="00000000" w:rsidRPr="00000000" w14:paraId="00000002">
      <w:pPr>
        <w:shd w:fill="ffffff" w:val="clear"/>
        <w:spacing w:line="240" w:lineRule="auto"/>
        <w:ind w:left="0" w:firstLine="0"/>
        <w:rPr>
          <w:b w:val="1"/>
          <w:bCs w:val="1"/>
        </w:rPr>
      </w:pPr>
      <w:r w:rsidDel="00000000" w:rsidR="00000000" w:rsidRPr="00000000">
        <w:rPr>
          <w:rtl w:val="0"/>
        </w:rPr>
      </w:r>
    </w:p>
    <w:p w:rsidR="00000000" w:rsidDel="00000000" w:rsidP="00000000" w:rsidRDefault="00000000" w:rsidRPr="00000000" w14:paraId="00000003">
      <w:pPr>
        <w:shd w:fill="ffffff" w:val="clear"/>
        <w:spacing w:line="240" w:lineRule="auto"/>
        <w:ind w:left="0" w:firstLine="0"/>
        <w:rPr/>
      </w:pPr>
      <w:r w:rsidDel="00000000" w:rsidR="00000000" w:rsidRPr="00000000">
        <w:rPr>
          <w:b w:val="1"/>
          <w:bCs w:val="1"/>
          <w:rtl w:val="0"/>
        </w:rPr>
        <w:t xml:space="preserve">Target Journal:</w:t>
      </w:r>
      <w:r w:rsidDel="00000000" w:rsidR="00000000" w:rsidRPr="00000000">
        <w:rPr>
          <w:rtl w:val="0"/>
        </w:rPr>
        <w:t xml:space="preserve"> ESSD: </w:t>
      </w:r>
      <w:hyperlink r:id="rId7">
        <w:r w:rsidDel="00000000" w:rsidR="00000000" w:rsidRPr="00000000">
          <w:rPr>
            <w:color w:val="1155cc"/>
            <w:u w:val="single"/>
            <w:rtl w:val="0"/>
          </w:rPr>
          <w:t xml:space="preserve">https://www.earth-system-science-data.net/</w:t>
        </w:r>
      </w:hyperlink>
      <w:r w:rsidDel="00000000" w:rsidR="00000000" w:rsidRPr="00000000">
        <w:rPr>
          <w:rtl w:val="0"/>
        </w:rPr>
      </w:r>
    </w:p>
    <w:p w:rsidR="00000000" w:rsidDel="00000000" w:rsidP="00000000" w:rsidRDefault="00000000" w:rsidRPr="00000000" w14:paraId="00000004">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05">
      <w:pPr>
        <w:shd w:fill="ffffff" w:val="clear"/>
        <w:spacing w:line="240" w:lineRule="auto"/>
        <w:ind w:left="0" w:firstLine="0"/>
        <w:rPr/>
      </w:pPr>
      <w:r w:rsidDel="00000000" w:rsidR="00000000" w:rsidRPr="00000000">
        <w:rPr>
          <w:rtl w:val="0"/>
        </w:rPr>
      </w:r>
    </w:p>
    <w:p w:rsidR="00000000" w:rsidDel="00000000" w:rsidP="00000000" w:rsidRDefault="00000000" w:rsidRPr="00000000" w14:paraId="00000006">
      <w:pPr>
        <w:pStyle w:val="Subtitle"/>
        <w:shd w:fill="ffffff" w:val="clear"/>
        <w:spacing w:line="240" w:lineRule="auto"/>
        <w:ind w:left="-180" w:firstLine="0"/>
        <w:rPr/>
      </w:pPr>
      <w:bookmarkStart w:colFirst="0" w:colLast="0" w:name="_4ymw8l44v54s" w:id="1"/>
      <w:bookmarkEnd w:id="1"/>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Early micrometeorological work employed the gradient-flux (GF) method to measure gas exchange between ecosystems and the atmosphere.</w:t>
      </w:r>
      <w:hyperlink r:id="rId8">
        <w:r w:rsidDel="00000000" w:rsidR="00000000" w:rsidRPr="00000000">
          <w:rPr>
            <w:rtl w:val="0"/>
          </w:rPr>
          <w:t xml:space="preserve"> </w:t>
        </w:r>
      </w:hyperlink>
      <w:r w:rsidDel="00000000" w:rsidR="00000000" w:rsidRPr="00000000">
        <w:rPr>
          <w:rtl w:val="0"/>
        </w:rPr>
        <w:t xml:space="preserve">Among GF methods, the modified Bowen ratio (MBR), aerodynamic (AE), and wind profile (WP) approaches are the most </w:t>
      </w:r>
      <w:r w:rsidDel="00000000" w:rsidR="00000000" w:rsidRPr="00000000">
        <w:rPr>
          <w:rtl w:val="0"/>
        </w:rPr>
        <w:t xml:space="preserve">widely used for ecosystem-scale flux calculations and have been applied</w:t>
      </w:r>
      <w:r w:rsidDel="00000000" w:rsidR="00000000" w:rsidRPr="00000000">
        <w:rPr>
          <w:rtl w:val="0"/>
        </w:rPr>
        <w:t xml:space="preserve"> with varying success. Challenges </w:t>
      </w:r>
      <w:r w:rsidDel="00000000" w:rsidR="00000000" w:rsidRPr="00000000">
        <w:rPr>
          <w:rtl w:val="0"/>
        </w:rPr>
        <w:t xml:space="preserve">in reliably applying the GF method limited its use</w:t>
      </w:r>
      <w:r w:rsidDel="00000000" w:rsidR="00000000" w:rsidRPr="00000000">
        <w:rPr>
          <w:color w:val="137333"/>
          <w:rtl w:val="0"/>
        </w:rPr>
        <w:t xml:space="preserve">,</w:t>
      </w:r>
      <w:r w:rsidDel="00000000" w:rsidR="00000000" w:rsidRPr="00000000">
        <w:rPr>
          <w:rtl w:val="0"/>
        </w:rPr>
        <w:t xml:space="preserve"> particularly</w:t>
      </w:r>
      <w:r w:rsidDel="00000000" w:rsidR="00000000" w:rsidRPr="00000000">
        <w:rPr>
          <w:rtl w:val="0"/>
        </w:rPr>
        <w:t xml:space="preserve"> in forests with tall canopies. Meanwhile, t</w:t>
      </w:r>
      <w:r w:rsidDel="00000000" w:rsidR="00000000" w:rsidRPr="00000000">
        <w:rPr>
          <w:rtl w:val="0"/>
        </w:rPr>
        <w:t xml:space="preserve">he </w:t>
      </w:r>
      <w:r w:rsidDel="00000000" w:rsidR="00000000" w:rsidRPr="00000000">
        <w:rPr>
          <w:rtl w:val="0"/>
        </w:rPr>
        <w:t xml:space="preserve">eddy-covariance (EC) method has emerged as the primary method for measuring ecosystem–scale fluxes</w:t>
      </w:r>
      <w:r w:rsidDel="00000000" w:rsidR="00000000" w:rsidRPr="00000000">
        <w:rPr>
          <w:rtl w:val="0"/>
        </w:rPr>
        <w:t xml:space="preserve">, although</w:t>
      </w:r>
      <w:r w:rsidDel="00000000" w:rsidR="00000000" w:rsidRPr="00000000">
        <w:rPr>
          <w:rtl w:val="0"/>
        </w:rPr>
        <w:t xml:space="preserve"> </w:t>
      </w:r>
      <w:r w:rsidDel="00000000" w:rsidR="00000000" w:rsidRPr="00000000">
        <w:rPr>
          <w:rtl w:val="0"/>
        </w:rPr>
        <w:t xml:space="preserve">the GF method is still used to extend the suite of </w:t>
      </w:r>
      <w:r w:rsidDel="00000000" w:rsidR="00000000" w:rsidRPr="00000000">
        <w:rPr>
          <w:rtl w:val="0"/>
        </w:rPr>
        <w:t xml:space="preserve">trace gas species measured with existing tower infrastructure. </w:t>
      </w:r>
      <w:r w:rsidDel="00000000" w:rsidR="00000000" w:rsidRPr="00000000">
        <w:rPr>
          <w:rtl w:val="0"/>
        </w:rPr>
        <w:t xml:space="preserve">The National Ecological Observatory Network (NEON) provides standardized data across a wide range of ecosystem types, with consistent instrumentation and tower design (n = 47 towers), </w:t>
      </w:r>
      <w:r w:rsidDel="00000000" w:rsidR="00000000" w:rsidRPr="00000000">
        <w:rPr>
          <w:rtl w:val="0"/>
        </w:rPr>
        <w:t xml:space="preserve">offering an opportunity to evaluate the GF method</w:t>
      </w:r>
      <w:r w:rsidDel="00000000" w:rsidR="00000000" w:rsidRPr="00000000">
        <w:rPr>
          <w:rtl w:val="0"/>
        </w:rPr>
        <w:t xml:space="preserve"> for ecosystem-scale fluxes of </w:t>
      </w: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against EC. Here, we</w:t>
      </w:r>
      <w:r w:rsidDel="00000000" w:rsidR="00000000" w:rsidRPr="00000000">
        <w:rPr>
          <w:rtl w:val="0"/>
        </w:rPr>
        <w:t xml:space="preserve"> developed a protocol to assess the suitability of MBR, AE, and WP, and</w:t>
      </w:r>
      <w:r w:rsidDel="00000000" w:rsidR="00000000" w:rsidRPr="00000000">
        <w:rPr>
          <w:rtl w:val="0"/>
        </w:rPr>
        <w:t xml:space="preserve"> for these approaches,  and to determine which pairs of sampling heights yielded the most reliable ecosystem fluxes. Across sites,</w:t>
      </w:r>
      <w:r w:rsidDel="00000000" w:rsidR="00000000" w:rsidRPr="00000000">
        <w:rPr>
          <w:rtl w:val="0"/>
        </w:rPr>
        <w:t xml:space="preserve"> the MBR was the most </w:t>
      </w:r>
      <w:r w:rsidDel="00000000" w:rsidR="00000000" w:rsidRPr="00000000">
        <w:rPr>
          <w:rtl w:val="0"/>
        </w:rPr>
        <w:t xml:space="preserve">accurate</w:t>
      </w:r>
      <w:r w:rsidDel="00000000" w:rsidR="00000000" w:rsidRPr="00000000">
        <w:rPr>
          <w:rtl w:val="0"/>
        </w:rPr>
        <w:t xml:space="preserve">, although MBR data filtering </w:t>
      </w:r>
      <w:r w:rsidDel="00000000" w:rsidR="00000000" w:rsidRPr="00000000">
        <w:rPr>
          <w:rtl w:val="0"/>
        </w:rPr>
        <w:t xml:space="preserve">resulted in fewer observations than for </w:t>
      </w:r>
      <w:r w:rsidDel="00000000" w:rsidR="00000000" w:rsidRPr="00000000">
        <w:rPr>
          <w:rtl w:val="0"/>
        </w:rPr>
        <w:t xml:space="preserve">the AE and WP. Reliable ecosystem fluxes were derived from sampling height pairs that were either both above (AA), or above and </w:t>
      </w:r>
      <w:r w:rsidDel="00000000" w:rsidR="00000000" w:rsidRPr="00000000">
        <w:rPr>
          <w:rtl w:val="0"/>
        </w:rPr>
        <w:t xml:space="preserve">within</w:t>
      </w:r>
      <w:r w:rsidDel="00000000" w:rsidR="00000000" w:rsidRPr="00000000">
        <w:rPr>
          <w:rtl w:val="0"/>
        </w:rPr>
        <w:t xml:space="preserve"> (AW) the canopy. </w:t>
      </w:r>
      <w:r w:rsidDel="00000000" w:rsidR="00000000" w:rsidRPr="00000000">
        <w:rPr>
          <w:rtl w:val="0"/>
        </w:rPr>
        <w:t xml:space="preserve">Variance in canopy height, GF approach, measurement level, and the distance between measurement levels and the mean canopy height impacted the probability that a sampling height pair would produce reliable fluxes.</w:t>
      </w:r>
      <w:r w:rsidDel="00000000" w:rsidR="00000000" w:rsidRPr="00000000">
        <w:rPr>
          <w:rtl w:val="0"/>
        </w:rPr>
        <w:t xml:space="preserve"> Although all GF approaches produced reliable fluxes under various conditions for most NEON towers, fluxes were subject to substantial filtering-induced data loss. To overcome limitations in the size of GF datasets, we </w:t>
      </w:r>
      <w:r w:rsidDel="00000000" w:rsidR="00000000" w:rsidRPr="00000000">
        <w:rPr>
          <w:rtl w:val="0"/>
        </w:rPr>
        <w:t xml:space="preserve">ensembled</w:t>
      </w:r>
      <w:r w:rsidDel="00000000" w:rsidR="00000000" w:rsidRPr="00000000">
        <w:rPr>
          <w:rtl w:val="0"/>
        </w:rPr>
        <w:t xml:space="preserve"> fluxes across approaches and sampling height pairs, maintaining concordance between GF and EC. E</w:t>
      </w:r>
      <w:r w:rsidDel="00000000" w:rsidR="00000000" w:rsidRPr="00000000">
        <w:rPr>
          <w:rtl w:val="0"/>
        </w:rPr>
        <w:t xml:space="preserve">nsemble</w:t>
      </w:r>
      <w:r w:rsidDel="00000000" w:rsidR="00000000" w:rsidRPr="00000000">
        <w:rPr>
          <w:rtl w:val="0"/>
        </w:rPr>
        <w:t xml:space="preserve"> GFs showed strong agreement with the EC method across ecosystems and seasons </w:t>
      </w:r>
      <w:r w:rsidDel="00000000" w:rsidR="00000000" w:rsidRPr="00000000">
        <w:rPr>
          <w:rtl w:val="0"/>
        </w:rPr>
        <w:t xml:space="preserve">(</w:t>
      </w:r>
      <w:r w:rsidDel="00000000" w:rsidR="00000000" w:rsidRPr="00000000">
        <w:rPr>
          <w:rtl w:val="0"/>
        </w:rPr>
        <w:t xml:space="preserve"> R</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t xml:space="preserve"> 0.72 - 0.98</w:t>
      </w:r>
      <w:r w:rsidDel="00000000" w:rsidR="00000000" w:rsidRPr="00000000">
        <w:rPr>
          <w:rtl w:val="0"/>
        </w:rPr>
        <w:t xml:space="preserve">)</w:t>
      </w:r>
      <w:r w:rsidDel="00000000" w:rsidR="00000000" w:rsidRPr="00000000">
        <w:rPr>
          <w:rtl w:val="0"/>
        </w:rPr>
        <w:t xml:space="preserve"> when sufficient data were available to fit diel curves. The </w:t>
      </w:r>
      <w:r w:rsidDel="00000000" w:rsidR="00000000" w:rsidRPr="00000000">
        <w:rPr>
          <w:rtl w:val="0"/>
        </w:rPr>
        <w:t xml:space="preserve">ensemble</w:t>
      </w:r>
      <w:r w:rsidDel="00000000" w:rsidR="00000000" w:rsidRPr="00000000">
        <w:rPr>
          <w:rtl w:val="0"/>
        </w:rPr>
        <w:t xml:space="preserve"> GFs </w:t>
      </w:r>
      <w:r w:rsidDel="00000000" w:rsidR="00000000" w:rsidRPr="00000000">
        <w:rPr>
          <w:rtl w:val="0"/>
        </w:rPr>
        <w:t xml:space="preserve">captured the magnitude of fluxes and the source/sink capacity of ecosystems.</w:t>
      </w:r>
      <w:r w:rsidDel="00000000" w:rsidR="00000000" w:rsidRPr="00000000">
        <w:rPr>
          <w:rtl w:val="0"/>
        </w:rPr>
        <w:t xml:space="preserve"> By</w:t>
      </w:r>
      <w:r w:rsidDel="00000000" w:rsidR="00000000" w:rsidRPr="00000000">
        <w:rPr>
          <w:rtl w:val="0"/>
        </w:rPr>
        <w:t xml:space="preserve"> comparison with state-of-the-art EC data, we systematically demonstrate that ensemble GFs can be used to understand ecosystem dynamics across terrestrial ecosystems, from</w:t>
      </w:r>
      <w:r w:rsidDel="00000000" w:rsidR="00000000" w:rsidRPr="00000000">
        <w:rPr>
          <w:rtl w:val="0"/>
        </w:rPr>
        <w:t xml:space="preserve"> simple to complex canopies</w:t>
      </w:r>
      <w:r w:rsidDel="00000000" w:rsidR="00000000" w:rsidRPr="00000000">
        <w:rPr>
          <w:rtl w:val="0"/>
        </w:rPr>
        <w:t xml:space="preserve">, thereby expanding the species measured in EC networks.</w:t>
      </w:r>
    </w:p>
    <w:p w:rsidR="00000000" w:rsidDel="00000000" w:rsidP="00000000" w:rsidRDefault="00000000" w:rsidRPr="00000000" w14:paraId="00000008">
      <w:pPr>
        <w:pStyle w:val="Heading1"/>
        <w:ind w:left="450" w:firstLine="0"/>
        <w:rPr/>
      </w:pPr>
      <w:bookmarkStart w:colFirst="0" w:colLast="0" w:name="_o031bzf948qq"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numPr>
          <w:ilvl w:val="0"/>
          <w:numId w:val="1"/>
        </w:numPr>
        <w:ind w:left="450" w:hanging="360"/>
        <w:rPr/>
      </w:pPr>
      <w:bookmarkStart w:colFirst="0" w:colLast="0" w:name="_rei5en91k1y8"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history of </w:t>
      </w:r>
      <w:r w:rsidDel="00000000" w:rsidR="00000000" w:rsidRPr="00000000">
        <w:rPr>
          <w:rtl w:val="0"/>
        </w:rPr>
        <w:t xml:space="preserve">ecosystem–atmosphere flux</w:t>
      </w:r>
      <w:r w:rsidDel="00000000" w:rsidR="00000000" w:rsidRPr="00000000">
        <w:rPr>
          <w:rtl w:val="0"/>
        </w:rPr>
        <w:t xml:space="preserve"> measurements span over a century and represents one of the most significant evolutions in environmental science </w:t>
      </w:r>
      <w:hyperlink r:id="rId9">
        <w:r w:rsidDel="00000000" w:rsidR="00000000" w:rsidRPr="00000000">
          <w:rPr>
            <w:b w:val="0"/>
            <w:bCs w:val="0"/>
            <w:color w:val="000000"/>
            <w:u w:val="none"/>
            <w:rtl w:val="0"/>
          </w:rPr>
          <w:t xml:space="preserve">(Baldocchi, 2014, 2003; Hicks and Baldocchi, 2020)</w:t>
        </w:r>
      </w:hyperlink>
      <w:r w:rsidDel="00000000" w:rsidR="00000000" w:rsidRPr="00000000">
        <w:rPr>
          <w:rtl w:val="0"/>
        </w:rPr>
        <w:t xml:space="preserve">. E</w:t>
      </w:r>
      <w:r w:rsidDel="00000000" w:rsidR="00000000" w:rsidRPr="00000000">
        <w:rPr>
          <w:rtl w:val="0"/>
        </w:rPr>
        <w:t xml:space="preserve">arly micrometeorological work employed the gradient-flux (GF) method, in which fluxes are assumed proportional to a gradient and an eddy diffusivity ( i.e., the turbulent ability of the air to transport the scalar) </w:t>
      </w:r>
      <w:hyperlink r:id="rId10">
        <w:r w:rsidDel="00000000" w:rsidR="00000000" w:rsidRPr="00000000">
          <w:rPr>
            <w:b w:val="0"/>
            <w:bCs w:val="0"/>
            <w:color w:val="000000"/>
            <w:u w:val="none"/>
            <w:rtl w:val="0"/>
          </w:rPr>
          <w:t xml:space="preserve">(Meyers and Baldocchi, 2015)</w:t>
        </w:r>
      </w:hyperlink>
      <w:r w:rsidDel="00000000" w:rsidR="00000000" w:rsidRPr="00000000">
        <w:rPr>
          <w:rtl w:val="0"/>
        </w:rPr>
        <w:t xml:space="preserve">.</w:t>
      </w:r>
      <w:hyperlink r:id="rId11">
        <w:r w:rsidDel="00000000" w:rsidR="00000000" w:rsidRPr="00000000">
          <w:rPr>
            <w:rtl w:val="0"/>
          </w:rPr>
          <w:t xml:space="preserve"> </w:t>
        </w:r>
      </w:hyperlink>
      <w:r w:rsidDel="00000000" w:rsidR="00000000" w:rsidRPr="00000000">
        <w:rPr>
          <w:rtl w:val="0"/>
        </w:rPr>
        <w:t xml:space="preserve">In the mid-to-late twentieth century, the GF method dominated </w:t>
      </w:r>
      <w:r w:rsidDel="00000000" w:rsidR="00000000" w:rsidRPr="00000000">
        <w:rPr>
          <w:rtl w:val="0"/>
        </w:rPr>
        <w:t xml:space="preserve">ecosystem–atmosphere flux studies</w:t>
      </w:r>
      <w:r w:rsidDel="00000000" w:rsidR="00000000" w:rsidRPr="00000000">
        <w:rPr>
          <w:rtl w:val="0"/>
        </w:rPr>
        <w:t xml:space="preserve"> by measuring the difference in a scalar at two heights above the canopy and estimating eddy diffusivity (K) from profiles or similarity relations </w:t>
      </w:r>
      <w:hyperlink r:id="rId12">
        <w:r w:rsidDel="00000000" w:rsidR="00000000" w:rsidRPr="00000000">
          <w:rPr>
            <w:b w:val="0"/>
            <w:bCs w:val="0"/>
            <w:color w:val="000000"/>
            <w:u w:val="none"/>
            <w:rtl w:val="0"/>
          </w:rPr>
          <w:t xml:space="preserve">(Cellier and Brunet, 1992; Meyers and Baldocchi, 2015; Simpson et al., 1998)</w:t>
        </w:r>
      </w:hyperlink>
      <w:r w:rsidDel="00000000" w:rsidR="00000000" w:rsidRPr="00000000">
        <w:rPr>
          <w:rtl w:val="0"/>
        </w:rPr>
        <w:t xml:space="preserve">.</w:t>
      </w:r>
      <w:hyperlink r:id="rId13">
        <w:r w:rsidDel="00000000" w:rsidR="00000000" w:rsidRPr="00000000">
          <w:rPr>
            <w:rtl w:val="0"/>
          </w:rPr>
          <w:t xml:space="preserve"> </w:t>
        </w:r>
      </w:hyperlink>
      <w:r w:rsidDel="00000000" w:rsidR="00000000" w:rsidRPr="00000000">
        <w:rPr>
          <w:rtl w:val="0"/>
        </w:rPr>
        <w:t xml:space="preserve">Numerous studies have illuminated the essential assumptions and limitations of the GF method in ecosystems with complex canopies </w:t>
      </w:r>
      <w:hyperlink r:id="rId14">
        <w:r w:rsidDel="00000000" w:rsidR="00000000" w:rsidRPr="00000000">
          <w:rPr>
            <w:b w:val="0"/>
            <w:bCs w:val="0"/>
            <w:color w:val="000000"/>
            <w:u w:val="none"/>
            <w:rtl w:val="0"/>
          </w:rPr>
          <w:t xml:space="preserve">(Raupach, 1979; Raupach and Legg, 1984; Stewart and Thom, 1973)</w:t>
        </w:r>
      </w:hyperlink>
      <w:r w:rsidDel="00000000" w:rsidR="00000000" w:rsidRPr="00000000">
        <w:rPr>
          <w:rtl w:val="0"/>
        </w:rPr>
        <w:t xml:space="preserve">. Yet, the constraints </w:t>
      </w:r>
      <w:r w:rsidDel="00000000" w:rsidR="00000000" w:rsidRPr="00000000">
        <w:rPr>
          <w:rtl w:val="0"/>
        </w:rPr>
        <w:t xml:space="preserve">imposed by the physical infrastructure required to apply this method </w:t>
      </w:r>
      <w:hyperlink r:id="rId15">
        <w:r w:rsidDel="00000000" w:rsidR="00000000" w:rsidRPr="00000000">
          <w:rPr>
            <w:b w:val="0"/>
            <w:bCs w:val="0"/>
            <w:color w:val="000000"/>
            <w:u w:val="none"/>
            <w:rtl w:val="0"/>
          </w:rPr>
          <w:t xml:space="preserve">(Wagner-Riddle et al., 2005)</w:t>
        </w:r>
      </w:hyperlink>
      <w:r w:rsidDel="00000000" w:rsidR="00000000" w:rsidRPr="00000000">
        <w:rPr>
          <w:rtl w:val="0"/>
        </w:rPr>
        <w:t xml:space="preserve">,</w:t>
      </w:r>
      <w:hyperlink r:id="rId16">
        <w:r w:rsidDel="00000000" w:rsidR="00000000" w:rsidRPr="00000000">
          <w:rPr>
            <w:b w:val="0"/>
            <w:bCs w:val="0"/>
            <w:color w:val="000000"/>
            <w:u w:val="none"/>
            <w:rtl w:val="0"/>
          </w:rPr>
          <w:t xml:space="preserve">(Wagner-Riddle et al., 2005)</w:t>
        </w:r>
      </w:hyperlink>
      <w:r w:rsidDel="00000000" w:rsidR="00000000" w:rsidRPr="00000000">
        <w:rPr>
          <w:rtl w:val="0"/>
        </w:rPr>
        <w:t xml:space="preserve"> limited its reliable </w:t>
      </w:r>
      <w:r w:rsidDel="00000000" w:rsidR="00000000" w:rsidRPr="00000000">
        <w:rPr>
          <w:rtl w:val="0"/>
        </w:rPr>
        <w:t xml:space="preserve">use</w:t>
      </w:r>
      <w:r w:rsidDel="00000000" w:rsidR="00000000" w:rsidRPr="00000000">
        <w:rPr>
          <w:color w:val="1c1c1c"/>
          <w:sz w:val="21"/>
          <w:szCs w:val="21"/>
          <w:rtl w:val="0"/>
        </w:rPr>
        <w:t xml:space="preserve">.</w:t>
      </w:r>
      <w:r w:rsidDel="00000000" w:rsidR="00000000" w:rsidRPr="00000000">
        <w:rPr>
          <w:rtl w:val="0"/>
        </w:rPr>
      </w:r>
    </w:p>
    <w:p w:rsidR="00000000" w:rsidDel="00000000" w:rsidP="00000000" w:rsidRDefault="00000000" w:rsidRPr="00000000" w14:paraId="0000000B">
      <w:pPr>
        <w:keepNext w:val="1"/>
        <w:rPr>
          <w:color w:val="444746"/>
        </w:rPr>
      </w:pPr>
      <w:r w:rsidDel="00000000" w:rsidR="00000000" w:rsidRPr="00000000">
        <w:rPr>
          <w:rtl w:val="0"/>
        </w:rPr>
        <w:t xml:space="preserve">The eddy covariance (EC)</w:t>
      </w:r>
      <w:r w:rsidDel="00000000" w:rsidR="00000000" w:rsidRPr="00000000">
        <w:rPr>
          <w:rtl w:val="0"/>
        </w:rPr>
        <w:t xml:space="preserve"> method, which emerged from micrometeorology and turbulence research, provided the first direct measurements of </w:t>
      </w:r>
      <w:r w:rsidDel="00000000" w:rsidR="00000000" w:rsidRPr="00000000">
        <w:rPr>
          <w:rtl w:val="0"/>
        </w:rPr>
        <w:t xml:space="preserve">flux density across the </w:t>
      </w:r>
      <w:r w:rsidDel="00000000" w:rsidR="00000000" w:rsidRPr="00000000">
        <w:rPr>
          <w:rtl w:val="0"/>
        </w:rPr>
        <w:t xml:space="preserve">ecosystem–atmosphere </w:t>
      </w:r>
      <w:r w:rsidDel="00000000" w:rsidR="00000000" w:rsidRPr="00000000">
        <w:rPr>
          <w:highlight w:val="white"/>
          <w:rtl w:val="0"/>
        </w:rPr>
        <w:t xml:space="preserve">interface </w:t>
      </w:r>
      <w:hyperlink r:id="rId17">
        <w:r w:rsidDel="00000000" w:rsidR="00000000" w:rsidRPr="00000000">
          <w:rPr>
            <w:b w:val="0"/>
            <w:bCs w:val="0"/>
            <w:color w:val="000000"/>
            <w:highlight w:val="white"/>
            <w:u w:val="none"/>
            <w:rtl w:val="0"/>
          </w:rPr>
          <w:t xml:space="preserve">(Baldocchi, 2014, 2003)</w:t>
        </w:r>
      </w:hyperlink>
      <w:r w:rsidDel="00000000" w:rsidR="00000000" w:rsidRPr="00000000">
        <w:rPr>
          <w:rtl w:val="0"/>
        </w:rPr>
        <w:t xml:space="preserve">. R</w:t>
      </w:r>
      <w:r w:rsidDel="00000000" w:rsidR="00000000" w:rsidRPr="00000000">
        <w:rPr>
          <w:shd w:fill="fcfcfc" w:val="clear"/>
          <w:rtl w:val="0"/>
        </w:rPr>
        <w:t xml:space="preserve">equiring high-frequency (10-20 Hz) measurements of vertical atmospheric turbulence and gas concentrations </w:t>
      </w:r>
      <w:hyperlink r:id="rId18">
        <w:r w:rsidDel="00000000" w:rsidR="00000000" w:rsidRPr="00000000">
          <w:rPr>
            <w:b w:val="0"/>
            <w:bCs w:val="0"/>
            <w:color w:val="000000"/>
            <w:u w:val="none"/>
            <w:shd w:fill="fcfcfc" w:val="clear"/>
            <w:rtl w:val="0"/>
          </w:rPr>
          <w:t xml:space="preserve">(Baldocchi, 2003)</w:t>
        </w:r>
      </w:hyperlink>
      <w:r w:rsidDel="00000000" w:rsidR="00000000" w:rsidRPr="00000000">
        <w:rPr>
          <w:shd w:fill="fcfcfc" w:val="clear"/>
          <w:rtl w:val="0"/>
        </w:rPr>
        <w:t xml:space="preserve">, the advent of fast-response sensors (e.g., open-path infrared gas analyzers, sonic anemometers) in the 1980s enabled the development of continuous EC systems </w:t>
      </w:r>
      <w:hyperlink r:id="rId19">
        <w:r w:rsidDel="00000000" w:rsidR="00000000" w:rsidRPr="00000000">
          <w:rPr>
            <w:b w:val="0"/>
            <w:bCs w:val="0"/>
            <w:color w:val="000000"/>
            <w:u w:val="none"/>
            <w:shd w:fill="fcfcfc" w:val="clear"/>
            <w:rtl w:val="0"/>
          </w:rPr>
          <w:t xml:space="preserve">(Baldocchi, 2014)</w:t>
        </w:r>
      </w:hyperlink>
      <w:r w:rsidDel="00000000" w:rsidR="00000000" w:rsidRPr="00000000">
        <w:rPr>
          <w:shd w:fill="fcfcfc" w:val="clear"/>
          <w:rtl w:val="0"/>
        </w:rPr>
        <w:t xml:space="preserve">. These advancements led to the emergence of whole-ecosystem carbon and water balance studies that transformed ecological research </w:t>
      </w:r>
      <w:hyperlink r:id="rId20">
        <w:r w:rsidDel="00000000" w:rsidR="00000000" w:rsidRPr="00000000">
          <w:rPr>
            <w:b w:val="0"/>
            <w:bCs w:val="0"/>
            <w:color w:val="000000"/>
            <w:u w:val="none"/>
            <w:shd w:fill="fcfcfc" w:val="clear"/>
            <w:rtl w:val="0"/>
          </w:rPr>
          <w:t xml:space="preserve">(Baldocchi, 2014)</w:t>
        </w:r>
      </w:hyperlink>
      <w:r w:rsidDel="00000000" w:rsidR="00000000" w:rsidRPr="00000000">
        <w:rPr>
          <w:shd w:fill="fcfcfc" w:val="clear"/>
          <w:rtl w:val="0"/>
        </w:rPr>
        <w:t xml:space="preserve">. In the 1990s, the rise of coordinated networks provided standardized, long-term datasets critical for quantifying ecosystem carbon budgets, validating remote sensing and process-based models, and supporting the IP</w:t>
      </w:r>
      <w:r w:rsidDel="00000000" w:rsidR="00000000" w:rsidRPr="00000000">
        <w:rPr>
          <w:rtl w:val="0"/>
        </w:rPr>
        <w:t xml:space="preserve">CC's carbon accounting frameworks. Modern micrometerology towers measure </w:t>
      </w:r>
      <w:r w:rsidDel="00000000" w:rsidR="00000000" w:rsidRPr="00000000">
        <w:rPr>
          <w:rtl w:val="0"/>
        </w:rPr>
        <w:t xml:space="preserve">greenhouse gases (CO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t xml:space="preserve"> volatile organic compounds </w:t>
      </w:r>
      <w:r w:rsidDel="00000000" w:rsidR="00000000" w:rsidRPr="00000000">
        <w:rPr>
          <w:rtl w:val="0"/>
        </w:rPr>
        <w:t xml:space="preserve">(isoprene, monoterpenes</w:t>
      </w:r>
      <w:r w:rsidDel="00000000" w:rsidR="00000000" w:rsidRPr="00000000">
        <w:rPr>
          <w:rtl w:val="0"/>
        </w:rPr>
        <w:t xml:space="preserve">), </w:t>
      </w:r>
      <w:r w:rsidDel="00000000" w:rsidR="00000000" w:rsidRPr="00000000">
        <w:rPr>
          <w:rtl w:val="0"/>
        </w:rPr>
        <w:t xml:space="preserve">gaseous pollutants (O</w:t>
      </w:r>
      <w:r w:rsidDel="00000000" w:rsidR="00000000" w:rsidRPr="00000000">
        <w:rPr>
          <w:vertAlign w:val="subscript"/>
          <w:rtl w:val="0"/>
        </w:rPr>
        <w:t xml:space="preserve">3</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 NO</w:t>
      </w:r>
      <w:r w:rsidDel="00000000" w:rsidR="00000000" w:rsidRPr="00000000">
        <w:rPr>
          <w:rtl w:val="0"/>
        </w:rPr>
        <w:t xml:space="preserve">), </w:t>
      </w:r>
      <w:r w:rsidDel="00000000" w:rsidR="00000000" w:rsidRPr="00000000">
        <w:rPr>
          <w:rtl w:val="0"/>
        </w:rPr>
        <w:t xml:space="preserve">and energy (sensible heat and latent energy) fluxes a</w:t>
      </w:r>
      <w:r w:rsidDel="00000000" w:rsidR="00000000" w:rsidRPr="00000000">
        <w:rPr>
          <w:rtl w:val="0"/>
        </w:rPr>
        <w:t xml:space="preserve">cross diverse biomes—from Arctic tundra to tropical forests and wetlands. </w:t>
      </w:r>
      <w:r w:rsidDel="00000000" w:rsidR="00000000" w:rsidRPr="00000000">
        <w:rPr>
          <w:rtl w:val="0"/>
        </w:rPr>
        <w:t xml:space="preserve">Limitations in funding, fast response instrumentation, and access</w:t>
      </w:r>
      <w:r w:rsidDel="00000000" w:rsidR="00000000" w:rsidRPr="00000000">
        <w:rPr>
          <w:rtl w:val="0"/>
        </w:rPr>
        <w:t xml:space="preserve"> have led to a global network with varying degrees of representativeness across different trace gases </w:t>
      </w:r>
      <w:hyperlink r:id="rId21">
        <w:r w:rsidDel="00000000" w:rsidR="00000000" w:rsidRPr="00000000">
          <w:rPr>
            <w:b w:val="0"/>
            <w:bCs w:val="0"/>
            <w:color w:val="000000"/>
            <w:u w:val="none"/>
            <w:rtl w:val="0"/>
          </w:rPr>
          <w:t xml:space="preserve">(Guenther et al., 2012; Karl et al., 2003; Malone et al., 2022; Reed et al., 2025; Spirig et al., 2005)</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Since t</w:t>
      </w:r>
      <w:r w:rsidDel="00000000" w:rsidR="00000000" w:rsidRPr="00000000">
        <w:rPr>
          <w:rtl w:val="0"/>
        </w:rPr>
        <w:t xml:space="preserve">here is no single, perfect way to measure </w:t>
      </w:r>
      <w:r w:rsidDel="00000000" w:rsidR="00000000" w:rsidRPr="00000000">
        <w:rPr>
          <w:rtl w:val="0"/>
        </w:rPr>
        <w:t xml:space="preserve">ecosystem–atmosphere fluxes</w:t>
      </w:r>
      <w:r w:rsidDel="00000000" w:rsidR="00000000" w:rsidRPr="00000000">
        <w:rPr>
          <w:rtl w:val="0"/>
        </w:rPr>
        <w:t xml:space="preserve"> (Baldocchi 2014)</w:t>
      </w:r>
      <w:r w:rsidDel="00000000" w:rsidR="00000000" w:rsidRPr="00000000">
        <w:rPr>
          <w:rtl w:val="0"/>
        </w:rPr>
        <w:t xml:space="preserve">, we still need</w:t>
      </w:r>
      <w:r w:rsidDel="00000000" w:rsidR="00000000" w:rsidRPr="00000000">
        <w:rPr>
          <w:rtl w:val="0"/>
        </w:rPr>
        <w:t xml:space="preserve"> different approaches to flux calculation to expand the species measured with existing tower infrastructure, and for trace gases, where deploying the EC method is not feasible (i.e.,</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t xml:space="preserve">, </w:t>
      </w:r>
      <w:r w:rsidDel="00000000" w:rsidR="00000000" w:rsidRPr="00000000">
        <w:rPr>
          <w:rtl w:val="0"/>
        </w:rPr>
        <w:t xml:space="preserve">isoprene, monoterpenes</w:t>
      </w:r>
      <w:r w:rsidDel="00000000" w:rsidR="00000000" w:rsidRPr="00000000">
        <w:rPr>
          <w:rtl w:val="0"/>
        </w:rPr>
        <w:t xml:space="preserve">, O</w:t>
      </w:r>
      <w:r w:rsidDel="00000000" w:rsidR="00000000" w:rsidRPr="00000000">
        <w:rPr>
          <w:vertAlign w:val="subscript"/>
          <w:rtl w:val="0"/>
        </w:rPr>
        <w:t xml:space="preserve">3</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 NO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Today, the widespread availability of EC provides a robust benchmark for assessing GF performance. It is now possible to define the operational limits of the GF method and strategically deploy it to </w:t>
      </w:r>
      <w:r w:rsidDel="00000000" w:rsidR="00000000" w:rsidRPr="00000000">
        <w:rPr>
          <w:rtl w:val="0"/>
        </w:rPr>
        <w:t xml:space="preserve">extend our understanding of trace gas fluxes beyond the constraints imposed by</w:t>
      </w:r>
      <w:r w:rsidDel="00000000" w:rsidR="00000000" w:rsidRPr="00000000">
        <w:rPr>
          <w:rtl w:val="0"/>
        </w:rPr>
        <w:t xml:space="preserve"> EC alone. </w:t>
      </w:r>
      <w:r w:rsidDel="00000000" w:rsidR="00000000" w:rsidRPr="00000000">
        <w:rPr>
          <w:rtl w:val="0"/>
        </w:rPr>
        <w:t xml:space="preserve">Hicks and Baldocchi (2020) called for a more comprehensive study of ecosystem fluxes using larger observational networks to investigate challenges like the detection limit of GFs across atmospheric stability and site-level canopy conditions </w:t>
      </w:r>
      <w:hyperlink r:id="rId22">
        <w:r w:rsidDel="00000000" w:rsidR="00000000" w:rsidRPr="00000000">
          <w:rPr>
            <w:b w:val="0"/>
            <w:bCs w:val="0"/>
            <w:color w:val="000000"/>
            <w:u w:val="none"/>
            <w:rtl w:val="0"/>
          </w:rPr>
          <w:t xml:space="preserve">(Hicks and Baldocchi, 2020)</w:t>
        </w:r>
      </w:hyperlink>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National Ecological Observatory Network (NEON), funded by the National Science Foundation,</w:t>
      </w:r>
      <w:r w:rsidDel="00000000" w:rsidR="00000000" w:rsidRPr="00000000">
        <w:rPr>
          <w:rtl w:val="0"/>
        </w:rPr>
        <w:t xml:space="preserve"> has uniform micrometeorological instrumentation at 47 terrestrial sites across the United States. The NEON tower sites represent a wide diversity of ecoclimate regions and canopy structures </w:t>
      </w:r>
      <w:hyperlink r:id="rId23">
        <w:r w:rsidDel="00000000" w:rsidR="00000000" w:rsidRPr="00000000">
          <w:rPr>
            <w:b w:val="0"/>
            <w:bCs w:val="0"/>
            <w:color w:val="000000"/>
            <w:u w:val="none"/>
            <w:rtl w:val="0"/>
          </w:rPr>
          <w:t xml:space="preserve">(Kao et al., 2012; LaRue et al., 2022; Metzger et al., 2019)</w:t>
        </w:r>
      </w:hyperlink>
      <w:r w:rsidDel="00000000" w:rsidR="00000000" w:rsidRPr="00000000">
        <w:rPr>
          <w:rtl w:val="0"/>
        </w:rPr>
        <w:t xml:space="preserve">. Each site has EC at the top of the tower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and a concentration profile that extends down into the canopy, providing multiple sampling height pairs for GF calculation. Micrometerology,</w:t>
      </w:r>
      <w:r w:rsidDel="00000000" w:rsidR="00000000" w:rsidRPr="00000000">
        <w:rPr>
          <w:rtl w:val="0"/>
        </w:rPr>
        <w:t xml:space="preserve"> paired with canopy structure and measurements at multiple levels above and within the canopy, provides the infrastructure</w:t>
      </w:r>
      <w:r w:rsidDel="00000000" w:rsidR="00000000" w:rsidRPr="00000000">
        <w:rPr>
          <w:rtl w:val="0"/>
        </w:rPr>
        <w:t xml:space="preserve"> to evaluate the extent to which the GF method can be used to produce reliable ecosystem fluxes.</w:t>
      </w:r>
    </w:p>
    <w:p w:rsidR="00000000" w:rsidDel="00000000" w:rsidP="00000000" w:rsidRDefault="00000000" w:rsidRPr="00000000" w14:paraId="0000000D">
      <w:pPr>
        <w:rPr/>
      </w:pPr>
      <w:r w:rsidDel="00000000" w:rsidR="00000000" w:rsidRPr="00000000">
        <w:rPr>
          <w:rtl w:val="0"/>
        </w:rPr>
        <w:t xml:space="preserve">T</w:t>
      </w:r>
      <w:r w:rsidDel="00000000" w:rsidR="00000000" w:rsidRPr="00000000">
        <w:rPr>
          <w:rtl w:val="0"/>
        </w:rPr>
        <w:t xml:space="preserve">he GF approach can significantly enhance our understanding of the complexities of ecosystem exchange rates</w:t>
      </w:r>
      <w:r w:rsidDel="00000000" w:rsidR="00000000" w:rsidRPr="00000000">
        <w:rPr>
          <w:rtl w:val="0"/>
        </w:rPr>
        <w:t xml:space="preserve"> by </w:t>
      </w:r>
      <w:r w:rsidDel="00000000" w:rsidR="00000000" w:rsidRPr="00000000">
        <w:rPr>
          <w:rtl w:val="0"/>
        </w:rPr>
        <w:t xml:space="preserve">utilizing co-located EC and GF instrumentation </w:t>
      </w:r>
      <w:hyperlink r:id="rId24">
        <w:r w:rsidDel="00000000" w:rsidR="00000000" w:rsidRPr="00000000">
          <w:rPr>
            <w:b w:val="0"/>
            <w:bCs w:val="0"/>
            <w:color w:val="000000"/>
            <w:u w:val="none"/>
            <w:rtl w:val="0"/>
          </w:rPr>
          <w:t xml:space="preserve">(Bolinius et al., 2016; Wu et al., 2015; Zhao et al., 2019)</w:t>
        </w:r>
      </w:hyperlink>
      <w:r w:rsidDel="00000000" w:rsidR="00000000" w:rsidRPr="00000000">
        <w:rPr>
          <w:rtl w:val="0"/>
        </w:rPr>
        <w:t xml:space="preserve">, along with canopy lidar and spectral information.</w:t>
      </w:r>
      <w:r w:rsidDel="00000000" w:rsidR="00000000" w:rsidRPr="00000000">
        <w:rPr>
          <w:rtl w:val="0"/>
        </w:rPr>
        <w:t xml:space="preserve"> Specifically, we can compare different methodological approaches to GF fluxes, including the modified Bowen ratio (MBR), the aerodynamic (AE), and the wind profile (WP) approaches </w:t>
      </w:r>
      <w:hyperlink r:id="rId25">
        <w:r w:rsidDel="00000000" w:rsidR="00000000" w:rsidRPr="00000000">
          <w:rPr>
            <w:b w:val="0"/>
            <w:bCs w:val="0"/>
            <w:color w:val="000000"/>
            <w:u w:val="none"/>
            <w:rtl w:val="0"/>
          </w:rPr>
          <w:t xml:space="preserve">(Bolinius et al., 2016; Mayer et al., 2011; Meredith et al., 2014; Meyers et al., 1996)</w:t>
        </w:r>
      </w:hyperlink>
      <w:r w:rsidDel="00000000" w:rsidR="00000000" w:rsidRPr="00000000">
        <w:rPr>
          <w:rtl w:val="0"/>
        </w:rPr>
        <w:t xml:space="preserve">. While all three GF approaches derive fluxes from mean concentration gradients, they differ in how they determine </w:t>
      </w:r>
      <w:r w:rsidDel="00000000" w:rsidR="00000000" w:rsidRPr="00000000">
        <w:rPr>
          <w:rtl w:val="0"/>
        </w:rPr>
        <w:t xml:space="preserve">K</w:t>
      </w:r>
      <w:r w:rsidDel="00000000" w:rsidR="00000000" w:rsidRPr="00000000">
        <w:rPr>
          <w:rtl w:val="0"/>
        </w:rPr>
        <w:t xml:space="preserve">. The MBR assumes that K is identical for a tracer and target gas and that vertical concentration gradients are consistent with the turbulent flux </w:t>
      </w:r>
      <w:hyperlink r:id="rId26">
        <w:r w:rsidDel="00000000" w:rsidR="00000000" w:rsidRPr="00000000">
          <w:rPr>
            <w:b w:val="0"/>
            <w:bCs w:val="0"/>
            <w:color w:val="000000"/>
            <w:u w:val="none"/>
            <w:rtl w:val="0"/>
          </w:rPr>
          <w:t xml:space="preserve">(Meyers et al., 1996)</w:t>
        </w:r>
      </w:hyperlink>
      <w:r w:rsidDel="00000000" w:rsidR="00000000" w:rsidRPr="00000000">
        <w:rPr>
          <w:rtl w:val="0"/>
        </w:rPr>
        <w:t xml:space="preserve">. This assumption allows for the calculation of a target flux when only the tracer flux is measured using EC. </w:t>
      </w:r>
      <w:r w:rsidDel="00000000" w:rsidR="00000000" w:rsidRPr="00000000">
        <w:rPr>
          <w:rtl w:val="0"/>
        </w:rPr>
        <w:t xml:space="preserve">Typically, the tracer gas is easier to measure (e.g., H</w:t>
      </w:r>
      <w:r w:rsidDel="00000000" w:rsidR="00000000" w:rsidRPr="00000000">
        <w:rPr>
          <w:vertAlign w:val="subscript"/>
          <w:rtl w:val="0"/>
        </w:rPr>
        <w:t xml:space="preserve">2</w:t>
      </w:r>
      <w:r w:rsidDel="00000000" w:rsidR="00000000" w:rsidRPr="00000000">
        <w:rPr>
          <w:rtl w:val="0"/>
        </w:rPr>
        <w:t xml:space="preserve">O and CO</w:t>
      </w:r>
      <w:r w:rsidDel="00000000" w:rsidR="00000000" w:rsidRPr="00000000">
        <w:rPr>
          <w:vertAlign w:val="subscript"/>
          <w:rtl w:val="0"/>
        </w:rPr>
        <w:t xml:space="preserve">2</w:t>
      </w:r>
      <w:r w:rsidDel="00000000" w:rsidR="00000000" w:rsidRPr="00000000">
        <w:rPr>
          <w:rtl w:val="0"/>
        </w:rPr>
        <w:t xml:space="preserve">) than the target gas (e.g., CH</w:t>
      </w:r>
      <w:r w:rsidDel="00000000" w:rsidR="00000000" w:rsidRPr="00000000">
        <w:rPr>
          <w:vertAlign w:val="subscript"/>
          <w:rtl w:val="0"/>
        </w:rPr>
        <w:t xml:space="preserve">4</w:t>
      </w:r>
      <w:r w:rsidDel="00000000" w:rsidR="00000000" w:rsidRPr="00000000">
        <w:rPr>
          <w:rtl w:val="0"/>
        </w:rPr>
        <w:t xml:space="preserve">, </w:t>
      </w: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rtl w:val="0"/>
        </w:rPr>
        <w:t xml:space="preserve">isoprene, monoterpenes</w:t>
      </w:r>
      <w:r w:rsidDel="00000000" w:rsidR="00000000" w:rsidRPr="00000000">
        <w:rPr>
          <w:rtl w:val="0"/>
        </w:rPr>
        <w:t xml:space="preserve">, O</w:t>
      </w:r>
      <w:r w:rsidDel="00000000" w:rsidR="00000000" w:rsidRPr="00000000">
        <w:rPr>
          <w:vertAlign w:val="subscript"/>
          <w:rtl w:val="0"/>
        </w:rPr>
        <w:t xml:space="preserve">3</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t xml:space="preserve">, NO</w:t>
      </w:r>
      <w:r w:rsidDel="00000000" w:rsidR="00000000" w:rsidRPr="00000000">
        <w:rPr>
          <w:rtl w:val="0"/>
        </w:rPr>
        <w:t xml:space="preserve">).</w:t>
      </w:r>
      <w:r w:rsidDel="00000000" w:rsidR="00000000" w:rsidRPr="00000000">
        <w:rPr>
          <w:rtl w:val="0"/>
        </w:rPr>
        <w:t xml:space="preserve"> With t</w:t>
      </w:r>
      <w:r w:rsidDel="00000000" w:rsidR="00000000" w:rsidRPr="00000000">
        <w:rPr>
          <w:rtl w:val="0"/>
        </w:rPr>
        <w:t xml:space="preserve">he AE, K is derived from wind and turbulence statistics. This approach assumes steady-state, horizontally homogeneous conditions and is sensitive to atmospheric stability and surface roughness </w:t>
      </w:r>
      <w:r w:rsidDel="00000000" w:rsidR="00000000" w:rsidRPr="00000000">
        <w:rPr>
          <w:rtl w:val="0"/>
        </w:rPr>
        <w:t xml:space="preserve">parameters</w:t>
      </w:r>
      <w:r w:rsidDel="00000000" w:rsidR="00000000" w:rsidRPr="00000000">
        <w:rPr>
          <w:rtl w:val="0"/>
        </w:rPr>
        <w:t xml:space="preserve"> </w:t>
      </w:r>
      <w:hyperlink r:id="rId27">
        <w:r w:rsidDel="00000000" w:rsidR="00000000" w:rsidRPr="00000000">
          <w:rPr>
            <w:b w:val="0"/>
            <w:bCs w:val="0"/>
            <w:color w:val="000000"/>
            <w:u w:val="none"/>
            <w:rtl w:val="0"/>
          </w:rPr>
          <w:t xml:space="preserve">(Dyer and Hicks, 1970; Monteith and Unsworth, 2013)</w:t>
        </w:r>
      </w:hyperlink>
      <w:r w:rsidDel="00000000" w:rsidR="00000000" w:rsidRPr="00000000">
        <w:rPr>
          <w:rtl w:val="0"/>
        </w:rPr>
        <w:t xml:space="preserve">. The WP approach is a simplification of the AE that derives K directly from the measured wind speed profile </w:t>
      </w:r>
      <w:r w:rsidDel="00000000" w:rsidR="00000000" w:rsidRPr="00000000">
        <w:rPr>
          <w:rtl w:val="0"/>
        </w:rPr>
        <w:t xml:space="preserve">and surface roughness, without assuming external turbulence parameters. The WP assumes steady-state, horizontally uniform conditions, and errors in estimating displacement height or roughness propagate into flux estimates. The WP is less accurate in complex terrain or under low </w:t>
      </w:r>
      <w:r w:rsidDel="00000000" w:rsidR="00000000" w:rsidRPr="00000000">
        <w:rPr>
          <w:rtl w:val="0"/>
        </w:rPr>
        <w:t xml:space="preserve">turbulence</w:t>
      </w:r>
      <w:r w:rsidDel="00000000" w:rsidR="00000000" w:rsidRPr="00000000">
        <w:rPr>
          <w:rtl w:val="0"/>
        </w:rPr>
        <w:t xml:space="preserve"> </w:t>
      </w:r>
      <w:hyperlink r:id="rId28">
        <w:r w:rsidDel="00000000" w:rsidR="00000000" w:rsidRPr="00000000">
          <w:rPr>
            <w:b w:val="0"/>
            <w:bCs w:val="0"/>
            <w:color w:val="000000"/>
            <w:u w:val="none"/>
            <w:rtl w:val="0"/>
          </w:rPr>
          <w:t xml:space="preserve">(Stull, 1988)</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Aside from the challenges associated with estimating K, additional issues arise from measuring concentrations at two different heights. </w:t>
      </w:r>
      <w:r w:rsidDel="00000000" w:rsidR="00000000" w:rsidRPr="00000000">
        <w:rPr>
          <w:rtl w:val="0"/>
        </w:rPr>
        <w:t xml:space="preserve">Differences in </w:t>
      </w:r>
      <w:r w:rsidDel="00000000" w:rsidR="00000000" w:rsidRPr="00000000">
        <w:rPr>
          <w:rtl w:val="0"/>
        </w:rPr>
        <w:t xml:space="preserve">footprint size between the upper and lower measurement heights</w:t>
      </w:r>
      <w:r w:rsidDel="00000000" w:rsidR="00000000" w:rsidRPr="00000000">
        <w:rPr>
          <w:rtl w:val="0"/>
        </w:rPr>
        <w:t xml:space="preserve"> pose a challenge, the magnitude of which can be influenced by the amount of heterogeneity in vegetation within the tower footprint and by differences in footprint size. Differences in spatial and temporal sampling footprints have been shown to </w:t>
      </w:r>
      <w:r w:rsidDel="00000000" w:rsidR="00000000" w:rsidRPr="00000000">
        <w:rPr>
          <w:rtl w:val="0"/>
        </w:rPr>
        <w:t xml:space="preserve">yield significant differences in GF relative to</w:t>
      </w:r>
      <w:r w:rsidDel="00000000" w:rsidR="00000000" w:rsidRPr="00000000">
        <w:rPr>
          <w:rtl w:val="0"/>
        </w:rPr>
        <w:t xml:space="preserve"> EC </w:t>
      </w:r>
      <w:hyperlink r:id="rId29">
        <w:r w:rsidDel="00000000" w:rsidR="00000000" w:rsidRPr="00000000">
          <w:rPr>
            <w:b w:val="0"/>
            <w:bCs w:val="0"/>
            <w:color w:val="000000"/>
            <w:u w:val="none"/>
            <w:rtl w:val="0"/>
          </w:rPr>
          <w:t xml:space="preserve">(Zhao et al., 2019)</w:t>
        </w:r>
      </w:hyperlink>
      <w:r w:rsidDel="00000000" w:rsidR="00000000" w:rsidRPr="00000000">
        <w:rPr>
          <w:rtl w:val="0"/>
        </w:rPr>
        <w:t xml:space="preserve">. These differences not only compromise interoperability among measurement techniques but, in the case of the GF method, also cause observations made at different heights on a tower to exhibit substantial </w:t>
      </w:r>
      <w:r w:rsidDel="00000000" w:rsidR="00000000" w:rsidRPr="00000000">
        <w:rPr>
          <w:rtl w:val="0"/>
        </w:rPr>
        <w:t xml:space="preserve">footprint differences</w:t>
      </w:r>
      <w:r w:rsidDel="00000000" w:rsidR="00000000" w:rsidRPr="00000000">
        <w:rPr>
          <w:rtl w:val="0"/>
        </w:rPr>
        <w:t xml:space="preserve"> </w:t>
      </w:r>
      <w:hyperlink r:id="rId30">
        <w:r w:rsidDel="00000000" w:rsidR="00000000" w:rsidRPr="00000000">
          <w:rPr>
            <w:b w:val="0"/>
            <w:bCs w:val="0"/>
            <w:color w:val="000000"/>
            <w:u w:val="none"/>
            <w:rtl w:val="0"/>
          </w:rPr>
          <w:t xml:space="preserve">(Horst, 1999)</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Here, we produce a standardized multi-site gradient-flux benchmark dataset for evaluating ecosystem-atmosphere exchange methods across NEON towers. The uncertainty and reliability of flux estimates from three GF methods (MBR, AE, and WP) were evaluated using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EC fluxes from the top of NEON towers as a benchmark. We assess how canopy structure (e.g., height, gap fraction, top-of-canopy roughness, and heterogeneity) influences the likelihood that a given sampling height pair will produce reliable ecosystem fluxes. </w:t>
      </w:r>
      <w:r w:rsidDel="00000000" w:rsidR="00000000" w:rsidRPr="00000000">
        <w:rPr>
          <w:rtl w:val="0"/>
        </w:rPr>
        <w:t xml:space="preserve">Ultimately, our goal is to determine where and when the GF method can be applied at NEON micromet towers</w:t>
      </w:r>
      <w:r w:rsidDel="00000000" w:rsidR="00000000" w:rsidRPr="00000000">
        <w:rPr>
          <w:rtl w:val="0"/>
        </w:rPr>
        <w:t xml:space="preserve">, or </w:t>
      </w:r>
      <w:r w:rsidDel="00000000" w:rsidR="00000000" w:rsidRPr="00000000">
        <w:rPr>
          <w:rtl w:val="0"/>
        </w:rPr>
        <w:t xml:space="preserve">at towers with similar characteristics in sampling time and measurement height</w:t>
      </w:r>
      <w:r w:rsidDel="00000000" w:rsidR="00000000" w:rsidRPr="00000000">
        <w:rPr>
          <w:rtl w:val="0"/>
        </w:rPr>
        <w:t xml:space="preserve">. This study is structured around three guiding questions:</w:t>
      </w:r>
    </w:p>
    <w:p w:rsidR="00000000" w:rsidDel="00000000" w:rsidP="00000000" w:rsidRDefault="00000000" w:rsidRPr="00000000" w14:paraId="00000010">
      <w:pPr>
        <w:widowControl w:val="0"/>
        <w:shd w:fill="ffffff" w:val="clear"/>
        <w:ind w:firstLine="0"/>
        <w:rPr/>
      </w:pPr>
      <w:r w:rsidDel="00000000" w:rsidR="00000000" w:rsidRPr="00000000">
        <w:rPr>
          <w:rtl w:val="0"/>
        </w:rPr>
        <w:t xml:space="preserve">(Q1) How well does the GF method perform across different ecosystems?</w:t>
      </w:r>
    </w:p>
    <w:p w:rsidR="00000000" w:rsidDel="00000000" w:rsidP="00000000" w:rsidRDefault="00000000" w:rsidRPr="00000000" w14:paraId="00000011">
      <w:pPr>
        <w:widowControl w:val="0"/>
        <w:shd w:fill="ffffff" w:val="clear"/>
        <w:ind w:firstLine="0"/>
        <w:rPr/>
      </w:pPr>
      <w:r w:rsidDel="00000000" w:rsidR="00000000" w:rsidRPr="00000000">
        <w:rPr>
          <w:rtl w:val="0"/>
        </w:rPr>
        <w:t xml:space="preserve">(Q2) Which </w:t>
      </w:r>
      <w:r w:rsidDel="00000000" w:rsidR="00000000" w:rsidRPr="00000000">
        <w:rPr>
          <w:rtl w:val="0"/>
        </w:rPr>
        <w:t xml:space="preserve">sampling height pairs, </w:t>
      </w:r>
      <w:r w:rsidDel="00000000" w:rsidR="00000000" w:rsidRPr="00000000">
        <w:rPr>
          <w:rtl w:val="0"/>
        </w:rPr>
        <w:t xml:space="preserve">in relation to canopy properties,</w:t>
      </w:r>
      <w:r w:rsidDel="00000000" w:rsidR="00000000" w:rsidRPr="00000000">
        <w:rPr>
          <w:rtl w:val="0"/>
        </w:rPr>
        <w:t xml:space="preserve"> </w:t>
      </w:r>
      <w:r w:rsidDel="00000000" w:rsidR="00000000" w:rsidRPr="00000000">
        <w:rPr>
          <w:rtl w:val="0"/>
        </w:rPr>
        <w:t xml:space="preserve">provide reliable ecosystem fluxes?</w:t>
      </w:r>
    </w:p>
    <w:p w:rsidR="00000000" w:rsidDel="00000000" w:rsidP="00000000" w:rsidRDefault="00000000" w:rsidRPr="00000000" w14:paraId="00000012">
      <w:pPr>
        <w:widowControl w:val="0"/>
        <w:shd w:fill="ffffff" w:val="clear"/>
        <w:ind w:firstLine="0"/>
        <w:rPr/>
      </w:pPr>
      <w:r w:rsidDel="00000000" w:rsidR="00000000" w:rsidRPr="00000000">
        <w:rPr>
          <w:rtl w:val="0"/>
        </w:rPr>
        <w:t xml:space="preserve">(Q3) Does the GF method provide a valid ecosystem assessment?</w:t>
      </w:r>
      <w:r w:rsidDel="00000000" w:rsidR="00000000" w:rsidRPr="00000000">
        <w:rPr>
          <w:rtl w:val="0"/>
        </w:rPr>
      </w:r>
    </w:p>
    <w:p w:rsidR="00000000" w:rsidDel="00000000" w:rsidP="00000000" w:rsidRDefault="00000000" w:rsidRPr="00000000" w14:paraId="00000013">
      <w:pPr>
        <w:spacing w:after="200" w:lineRule="auto"/>
        <w:ind w:left="0" w:firstLine="0"/>
        <w:rPr/>
      </w:pPr>
      <w:r w:rsidDel="00000000" w:rsidR="00000000" w:rsidRPr="00000000">
        <w:rPr>
          <w:highlight w:val="white"/>
          <w:rtl w:val="0"/>
        </w:rPr>
        <w:t xml:space="preserve">Although much of what we know about the limits of the GF method is rooted in the foundational history of the EC method </w:t>
      </w:r>
      <w:hyperlink r:id="rId31">
        <w:r w:rsidDel="00000000" w:rsidR="00000000" w:rsidRPr="00000000">
          <w:rPr>
            <w:b w:val="0"/>
            <w:bCs w:val="0"/>
            <w:color w:val="000000"/>
            <w:highlight w:val="white"/>
            <w:u w:val="none"/>
            <w:rtl w:val="0"/>
          </w:rPr>
          <w:t xml:space="preserve">(Raupach, 1979; Raupach and Legg, 1984; Stewart and Thom, 1973)</w:t>
        </w:r>
      </w:hyperlink>
      <w:r w:rsidDel="00000000" w:rsidR="00000000" w:rsidRPr="00000000">
        <w:rPr>
          <w:highlight w:val="white"/>
          <w:rtl w:val="0"/>
        </w:rPr>
        <w:t xml:space="preserve">, it is now possible to record data from more instruments over extended periods and with greater precision than previously available. The NEON data provide an opportunity to review and refine our understanding of the GF method, enabling us to see how it can be used to understand ecosystem exchange rates.</w:t>
      </w:r>
      <w:r w:rsidDel="00000000" w:rsidR="00000000" w:rsidRPr="00000000">
        <w:rPr>
          <w:rtl w:val="0"/>
        </w:rPr>
      </w:r>
    </w:p>
    <w:p w:rsidR="00000000" w:rsidDel="00000000" w:rsidP="00000000" w:rsidRDefault="00000000" w:rsidRPr="00000000" w14:paraId="00000014">
      <w:pPr>
        <w:pStyle w:val="Heading1"/>
        <w:numPr>
          <w:ilvl w:val="0"/>
          <w:numId w:val="1"/>
        </w:numPr>
        <w:ind w:left="450" w:hanging="360"/>
      </w:pPr>
      <w:bookmarkStart w:colFirst="0" w:colLast="0" w:name="_z50kpkcf9n3s" w:id="4"/>
      <w:bookmarkEnd w:id="4"/>
      <w:r w:rsidDel="00000000" w:rsidR="00000000" w:rsidRPr="00000000">
        <w:rPr>
          <w:rtl w:val="0"/>
        </w:rPr>
        <w:t xml:space="preserve">Methods</w:t>
      </w:r>
    </w:p>
    <w:p w:rsidR="00000000" w:rsidDel="00000000" w:rsidP="00000000" w:rsidRDefault="00000000" w:rsidRPr="00000000" w14:paraId="00000015">
      <w:pPr>
        <w:pStyle w:val="Heading2"/>
        <w:spacing w:line="240" w:lineRule="auto"/>
        <w:ind w:left="360" w:hanging="360"/>
        <w:rPr>
          <w:i w:val="1"/>
          <w:iCs w:val="1"/>
          <w:sz w:val="22"/>
          <w:szCs w:val="22"/>
          <w:shd w:fill="fff2cc" w:val="clear"/>
        </w:rPr>
      </w:pPr>
      <w:bookmarkStart w:colFirst="0" w:colLast="0" w:name="_k36uwei80prr" w:id="5"/>
      <w:bookmarkEnd w:id="5"/>
      <w:r w:rsidDel="00000000" w:rsidR="00000000" w:rsidRPr="00000000">
        <w:rPr>
          <w:sz w:val="22"/>
          <w:szCs w:val="22"/>
          <w:rtl w:val="0"/>
        </w:rPr>
        <w:t xml:space="preserve">2.1. Study Sites</w:t>
      </w: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rtl w:val="0"/>
        </w:rPr>
        <w:t xml:space="preserve">NEON's standardized observations and data processing suite is explicitly designed for inter-site comparability and analysis of feedback across multiple spatial and temporal scales. </w:t>
      </w:r>
      <w:r w:rsidDel="00000000" w:rsidR="00000000" w:rsidRPr="00000000">
        <w:rPr>
          <w:highlight w:val="white"/>
          <w:rtl w:val="0"/>
        </w:rPr>
        <w:t xml:space="preserve">Flux towers have multiple sampling levels, each outfitted with a suite of sensors mounted on perpendicular boom arms. The number of sampling levels on the tower varies from 4 to 8, depending on the site's mean canopy height. Towers were designed to be taller than the vegetation canopy at each site. </w:t>
      </w:r>
      <w:r w:rsidDel="00000000" w:rsidR="00000000" w:rsidRPr="00000000">
        <w:rPr>
          <w:rtl w:val="0"/>
        </w:rPr>
        <w:t xml:space="preserve">Tower sampling</w:t>
      </w:r>
      <w:r w:rsidDel="00000000" w:rsidR="00000000" w:rsidRPr="00000000">
        <w:rPr>
          <w:rtl w:val="0"/>
        </w:rPr>
        <w:t xml:space="preserve"> </w:t>
      </w:r>
      <w:r w:rsidDel="00000000" w:rsidR="00000000" w:rsidRPr="00000000">
        <w:rPr>
          <w:rtl w:val="0"/>
        </w:rPr>
        <w:t xml:space="preserve">heights were categorized based on the measurement height of the two levels used to calculate the GF (Table 1). Measurements were inclusive of both sampling levels above the canopy (AA) or one measurement height within the canopy (AW). Although AW is not considered ideal, when canopies are sparse, allowing sufficient connectivity, fluxes have been shown to provide reliable ecosystem assessments</w:t>
      </w:r>
      <w:r w:rsidDel="00000000" w:rsidR="00000000" w:rsidRPr="00000000">
        <w:rPr>
          <w:rtl w:val="0"/>
        </w:rPr>
        <w:t xml:space="preserve"> (</w:t>
      </w:r>
      <w:hyperlink r:id="rId32">
        <w:r w:rsidDel="00000000" w:rsidR="00000000" w:rsidRPr="00000000">
          <w:rPr>
            <w:b w:val="0"/>
            <w:bCs w:val="0"/>
            <w:color w:val="000000"/>
            <w:u w:val="none"/>
            <w:rtl w:val="0"/>
          </w:rPr>
          <w:t xml:space="preserve">(Meredith et al., 2014)</w:t>
        </w:r>
      </w:hyperlink>
      <w:r w:rsidDel="00000000" w:rsidR="00000000" w:rsidRPr="00000000">
        <w:rPr>
          <w:rtl w:val="0"/>
        </w:rPr>
        <w:t xml:space="preserve">.</w:t>
      </w:r>
      <w:r w:rsidDel="00000000" w:rsidR="00000000" w:rsidRPr="00000000">
        <w:rPr>
          <w:rtl w:val="0"/>
        </w:rPr>
        <w:t xml:space="preserve"> We also included an additional modifier indicating whether a measurement height was</w:t>
      </w:r>
      <w:r w:rsidDel="00000000" w:rsidR="00000000" w:rsidRPr="00000000">
        <w:rPr>
          <w:rtl w:val="0"/>
        </w:rPr>
        <w:t xml:space="preserve"> </w:t>
      </w:r>
      <w:r w:rsidDel="00000000" w:rsidR="00000000" w:rsidRPr="00000000">
        <w:rPr>
          <w:rtl w:val="0"/>
        </w:rPr>
        <w:t xml:space="preserve">above and most adjacent (+) or below and most adjacent (-) to the mean canopy height (Figure 1B). Across 47 towers, 208 </w:t>
      </w:r>
      <w:r w:rsidDel="00000000" w:rsidR="00000000" w:rsidRPr="00000000">
        <w:rPr>
          <w:rtl w:val="0"/>
        </w:rPr>
        <w:t xml:space="preserve">measurement</w:t>
      </w:r>
      <w:r w:rsidDel="00000000" w:rsidR="00000000" w:rsidRPr="00000000">
        <w:rPr>
          <w:rtl w:val="0"/>
        </w:rPr>
        <w:t xml:space="preserve"> pairs were AA, and 237 pairs were</w:t>
      </w:r>
      <w:r w:rsidDel="00000000" w:rsidR="00000000" w:rsidRPr="00000000">
        <w:rPr>
          <w:rtl w:val="0"/>
        </w:rPr>
        <w:t xml:space="preserve"> AW</w:t>
      </w:r>
      <w:r w:rsidDel="00000000" w:rsidR="00000000" w:rsidRPr="00000000">
        <w:rPr>
          <w:rtl w:val="0"/>
        </w:rPr>
        <w:t xml:space="preserve">. </w:t>
      </w:r>
      <w:r w:rsidDel="00000000" w:rsidR="00000000" w:rsidRPr="00000000">
        <w:rPr>
          <w:highlight w:val="white"/>
          <w:rtl w:val="0"/>
        </w:rPr>
        <w:t xml:space="preserve">Tower sensors continuously collected data to capture patterns and cycles over periods ranging from seconds to years. The NEON implements a comprehensive quality management system, including frequent sensor calibration and data quality checks to minimize measurement errors and ensure high-quality data collection </w:t>
      </w:r>
      <w:hyperlink r:id="rId33">
        <w:r w:rsidDel="00000000" w:rsidR="00000000" w:rsidRPr="00000000">
          <w:rPr>
            <w:b w:val="0"/>
            <w:bCs w:val="0"/>
            <w:color w:val="000000"/>
            <w:highlight w:val="white"/>
            <w:u w:val="none"/>
            <w:rtl w:val="0"/>
          </w:rPr>
          <w:t xml:space="preserve">(Sturtevant et al., 2022)</w:t>
        </w:r>
      </w:hyperlink>
      <w:r w:rsidDel="00000000" w:rsidR="00000000" w:rsidRPr="00000000">
        <w:rPr>
          <w:highlight w:val="white"/>
          <w:rtl w:val="0"/>
        </w:rPr>
        <w:t xml:space="preserve">.</w:t>
      </w:r>
    </w:p>
    <w:p w:rsidR="00000000" w:rsidDel="00000000" w:rsidP="00000000" w:rsidRDefault="00000000" w:rsidRPr="00000000" w14:paraId="00000017">
      <w:pPr>
        <w:spacing w:before="240" w:lineRule="auto"/>
        <w:ind w:firstLine="0"/>
        <w:rPr>
          <w:color w:val="001d35"/>
          <w:sz w:val="24"/>
          <w:szCs w:val="24"/>
          <w:highlight w:val="white"/>
        </w:rPr>
      </w:pPr>
      <w:r w:rsidDel="00000000" w:rsidR="00000000" w:rsidRPr="00000000">
        <w:rPr>
          <w:rtl w:val="0"/>
        </w:rPr>
        <w:t xml:space="preserve">Table 1. The gradient flux (GF) measurements were categorized into eight groups relative to the mean canopy height, with a modifier indicating whether a sampling height was </w:t>
      </w:r>
      <w:r w:rsidDel="00000000" w:rsidR="00000000" w:rsidRPr="00000000">
        <w:rPr>
          <w:rtl w:val="0"/>
        </w:rPr>
        <w:t xml:space="preserve">directly </w:t>
      </w:r>
      <w:r w:rsidDel="00000000" w:rsidR="00000000" w:rsidRPr="00000000">
        <w:rPr>
          <w:rtl w:val="0"/>
        </w:rPr>
        <w:t xml:space="preserve">above and most adjacent (+) or below and most adjacent (-) to the mean canopy height.</w:t>
      </w:r>
      <w:r w:rsidDel="00000000" w:rsidR="00000000" w:rsidRPr="00000000">
        <w:rPr>
          <w:rtl w:val="0"/>
        </w:rPr>
      </w:r>
    </w:p>
    <w:tbl>
      <w:tblPr>
        <w:tblStyle w:val="Table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5580"/>
        <w:gridCol w:w="1260"/>
        <w:gridCol w:w="945"/>
        <w:tblGridChange w:id="0">
          <w:tblGrid>
            <w:gridCol w:w="1365"/>
            <w:gridCol w:w="5580"/>
            <w:gridCol w:w="1260"/>
            <w:gridCol w:w="945"/>
          </w:tblGrid>
        </w:tblGridChange>
      </w:tblGrid>
      <w:tr>
        <w:trPr>
          <w:cantSplit w:val="0"/>
          <w:trHeight w:val="415" w:hRule="atLeast"/>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8">
            <w:pPr>
              <w:ind w:firstLine="0"/>
              <w:rPr>
                <w:b w:val="1"/>
                <w:bCs w:val="1"/>
                <w:sz w:val="20"/>
                <w:szCs w:val="20"/>
              </w:rPr>
            </w:pPr>
            <w:r w:rsidDel="00000000" w:rsidR="00000000" w:rsidRPr="00000000">
              <w:rPr>
                <w:b w:val="1"/>
                <w:bCs w:val="1"/>
                <w:sz w:val="20"/>
                <w:szCs w:val="20"/>
                <w:rtl w:val="0"/>
              </w:rPr>
              <w:t xml:space="preserve">Canopy Level</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9">
            <w:pPr>
              <w:ind w:firstLine="0"/>
              <w:rPr>
                <w:b w:val="1"/>
                <w:bCs w:val="1"/>
                <w:sz w:val="20"/>
                <w:szCs w:val="20"/>
              </w:rPr>
            </w:pPr>
            <w:r w:rsidDel="00000000" w:rsidR="00000000" w:rsidRPr="00000000">
              <w:rPr>
                <w:b w:val="1"/>
                <w:bCs w:val="1"/>
                <w:sz w:val="20"/>
                <w:szCs w:val="20"/>
                <w:rtl w:val="0"/>
              </w:rPr>
              <w:t xml:space="preserve">Description</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A">
            <w:pPr>
              <w:ind w:firstLine="0"/>
              <w:rPr>
                <w:b w:val="1"/>
                <w:bCs w:val="1"/>
                <w:sz w:val="20"/>
                <w:szCs w:val="20"/>
              </w:rPr>
            </w:pPr>
            <w:r w:rsidDel="00000000" w:rsidR="00000000" w:rsidRPr="00000000">
              <w:rPr>
                <w:b w:val="1"/>
                <w:bCs w:val="1"/>
                <w:sz w:val="20"/>
                <w:szCs w:val="20"/>
                <w:rtl w:val="0"/>
              </w:rPr>
              <w:t xml:space="preserve">Sampling Height Pairs</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B">
            <w:pPr>
              <w:ind w:firstLine="0"/>
              <w:rPr>
                <w:b w:val="1"/>
                <w:bCs w:val="1"/>
                <w:sz w:val="20"/>
                <w:szCs w:val="20"/>
              </w:rPr>
            </w:pPr>
            <w:r w:rsidDel="00000000" w:rsidR="00000000" w:rsidRPr="00000000">
              <w:rPr>
                <w:b w:val="1"/>
                <w:bCs w:val="1"/>
                <w:sz w:val="20"/>
                <w:szCs w:val="20"/>
                <w:rtl w:val="0"/>
              </w:rPr>
              <w:t xml:space="preserve">Towers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C">
            <w:pPr>
              <w:ind w:firstLine="0"/>
              <w:rPr>
                <w:sz w:val="20"/>
                <w:szCs w:val="20"/>
              </w:rPr>
            </w:pPr>
            <w:r w:rsidDel="00000000" w:rsidR="00000000" w:rsidRPr="00000000">
              <w:rPr>
                <w:sz w:val="20"/>
                <w:szCs w:val="20"/>
                <w:rtl w:val="0"/>
              </w:rPr>
              <w:t xml:space="preserve">AA+</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D">
            <w:pPr>
              <w:ind w:firstLine="0"/>
              <w:rPr>
                <w:sz w:val="20"/>
                <w:szCs w:val="20"/>
              </w:rPr>
            </w:pPr>
            <w:r w:rsidDel="00000000" w:rsidR="00000000" w:rsidRPr="00000000">
              <w:rPr>
                <w:sz w:val="20"/>
                <w:szCs w:val="20"/>
                <w:rtl w:val="0"/>
              </w:rPr>
              <w:t xml:space="preserve">Both measurements above the canopy, with one of them directly above the canopy</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E">
            <w:pPr>
              <w:ind w:firstLine="0"/>
              <w:rPr>
                <w:sz w:val="20"/>
                <w:szCs w:val="20"/>
              </w:rPr>
            </w:pPr>
            <w:r w:rsidDel="00000000" w:rsidR="00000000" w:rsidRPr="00000000">
              <w:rPr>
                <w:sz w:val="20"/>
                <w:szCs w:val="20"/>
                <w:rtl w:val="0"/>
              </w:rPr>
              <w:t xml:space="preserve">114</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1F">
            <w:pPr>
              <w:ind w:firstLine="0"/>
              <w:rPr>
                <w:sz w:val="20"/>
                <w:szCs w:val="20"/>
              </w:rPr>
            </w:pPr>
            <w:r w:rsidDel="00000000" w:rsidR="00000000" w:rsidRPr="00000000">
              <w:rPr>
                <w:sz w:val="20"/>
                <w:szCs w:val="20"/>
                <w:rtl w:val="0"/>
              </w:rPr>
              <w:t xml:space="preserve">47</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0">
            <w:pPr>
              <w:ind w:firstLine="0"/>
              <w:rPr>
                <w:sz w:val="20"/>
                <w:szCs w:val="20"/>
              </w:rPr>
            </w:pPr>
            <w:r w:rsidDel="00000000" w:rsidR="00000000" w:rsidRPr="00000000">
              <w:rPr>
                <w:sz w:val="20"/>
                <w:szCs w:val="20"/>
                <w:rtl w:val="0"/>
              </w:rPr>
              <w:t xml:space="preserve">AA</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1">
            <w:pPr>
              <w:ind w:firstLine="0"/>
              <w:rPr>
                <w:sz w:val="20"/>
                <w:szCs w:val="20"/>
              </w:rPr>
            </w:pPr>
            <w:r w:rsidDel="00000000" w:rsidR="00000000" w:rsidRPr="00000000">
              <w:rPr>
                <w:sz w:val="20"/>
                <w:szCs w:val="20"/>
                <w:rtl w:val="0"/>
              </w:rPr>
              <w:t xml:space="preserve">Both measurements above the canopy</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2">
            <w:pPr>
              <w:ind w:firstLine="0"/>
              <w:rPr>
                <w:sz w:val="20"/>
                <w:szCs w:val="20"/>
              </w:rPr>
            </w:pPr>
            <w:r w:rsidDel="00000000" w:rsidR="00000000" w:rsidRPr="00000000">
              <w:rPr>
                <w:sz w:val="20"/>
                <w:szCs w:val="20"/>
                <w:rtl w:val="0"/>
              </w:rPr>
              <w:t xml:space="preserve">94</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3">
            <w:pPr>
              <w:ind w:firstLine="0"/>
              <w:rPr>
                <w:sz w:val="20"/>
                <w:szCs w:val="20"/>
              </w:rPr>
            </w:pPr>
            <w:r w:rsidDel="00000000" w:rsidR="00000000" w:rsidRPr="00000000">
              <w:rPr>
                <w:sz w:val="20"/>
                <w:szCs w:val="20"/>
                <w:rtl w:val="0"/>
              </w:rPr>
              <w:t xml:space="preserve">43</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4">
            <w:pPr>
              <w:ind w:firstLine="0"/>
              <w:rPr>
                <w:sz w:val="20"/>
                <w:szCs w:val="20"/>
              </w:rPr>
            </w:pPr>
            <w:r w:rsidDel="00000000" w:rsidR="00000000" w:rsidRPr="00000000">
              <w:rPr>
                <w:sz w:val="20"/>
                <w:szCs w:val="20"/>
                <w:rtl w:val="0"/>
              </w:rPr>
              <w:t xml:space="preserve">AW+-</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5">
            <w:pPr>
              <w:ind w:firstLine="0"/>
              <w:rPr>
                <w:sz w:val="20"/>
                <w:szCs w:val="20"/>
              </w:rPr>
            </w:pPr>
            <w:r w:rsidDel="00000000" w:rsidR="00000000" w:rsidRPr="00000000">
              <w:rPr>
                <w:sz w:val="20"/>
                <w:szCs w:val="20"/>
                <w:rtl w:val="0"/>
              </w:rPr>
              <w:t xml:space="preserve">One measurement directly above and one directly below the canopy height</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6">
            <w:pPr>
              <w:ind w:firstLine="0"/>
              <w:rPr>
                <w:sz w:val="20"/>
                <w:szCs w:val="20"/>
              </w:rPr>
            </w:pPr>
            <w:r w:rsidDel="00000000" w:rsidR="00000000" w:rsidRPr="00000000">
              <w:rPr>
                <w:sz w:val="20"/>
                <w:szCs w:val="20"/>
                <w:rtl w:val="0"/>
              </w:rPr>
              <w:t xml:space="preserve">32</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7">
            <w:pPr>
              <w:ind w:firstLine="0"/>
              <w:rPr>
                <w:sz w:val="20"/>
                <w:szCs w:val="20"/>
              </w:rPr>
            </w:pPr>
            <w:r w:rsidDel="00000000" w:rsidR="00000000" w:rsidRPr="00000000">
              <w:rPr>
                <w:sz w:val="20"/>
                <w:szCs w:val="20"/>
                <w:rtl w:val="0"/>
              </w:rPr>
              <w:t xml:space="preserve">32</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8">
            <w:pPr>
              <w:ind w:firstLine="0"/>
              <w:rPr>
                <w:sz w:val="20"/>
                <w:szCs w:val="20"/>
              </w:rPr>
            </w:pPr>
            <w:r w:rsidDel="00000000" w:rsidR="00000000" w:rsidRPr="00000000">
              <w:rPr>
                <w:sz w:val="20"/>
                <w:szCs w:val="20"/>
                <w:rtl w:val="0"/>
              </w:rPr>
              <w:t xml:space="preserve">AW+</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9">
            <w:pPr>
              <w:ind w:firstLine="0"/>
              <w:rPr>
                <w:sz w:val="20"/>
                <w:szCs w:val="20"/>
              </w:rPr>
            </w:pPr>
            <w:r w:rsidDel="00000000" w:rsidR="00000000" w:rsidRPr="00000000">
              <w:rPr>
                <w:sz w:val="20"/>
                <w:szCs w:val="20"/>
                <w:rtl w:val="0"/>
              </w:rPr>
              <w:t xml:space="preserve">One measurement directly above and one within the canopy</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A">
            <w:pPr>
              <w:ind w:firstLine="0"/>
              <w:rPr>
                <w:sz w:val="20"/>
                <w:szCs w:val="20"/>
              </w:rPr>
            </w:pPr>
            <w:r w:rsidDel="00000000" w:rsidR="00000000" w:rsidRPr="00000000">
              <w:rPr>
                <w:sz w:val="20"/>
                <w:szCs w:val="20"/>
                <w:rtl w:val="0"/>
              </w:rPr>
              <w:t xml:space="preserve">46</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B">
            <w:pPr>
              <w:ind w:firstLine="0"/>
              <w:rPr>
                <w:sz w:val="20"/>
                <w:szCs w:val="20"/>
              </w:rPr>
            </w:pPr>
            <w:r w:rsidDel="00000000" w:rsidR="00000000" w:rsidRPr="00000000">
              <w:rPr>
                <w:sz w:val="20"/>
                <w:szCs w:val="20"/>
                <w:rtl w:val="0"/>
              </w:rPr>
              <w:t xml:space="preserve">27</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C">
            <w:pPr>
              <w:ind w:firstLine="0"/>
              <w:rPr>
                <w:sz w:val="20"/>
                <w:szCs w:val="20"/>
              </w:rPr>
            </w:pPr>
            <w:r w:rsidDel="00000000" w:rsidR="00000000" w:rsidRPr="00000000">
              <w:rPr>
                <w:sz w:val="20"/>
                <w:szCs w:val="20"/>
                <w:rtl w:val="0"/>
              </w:rPr>
              <w:t xml:space="preserve">AW-</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D">
            <w:pPr>
              <w:ind w:firstLine="0"/>
              <w:rPr>
                <w:sz w:val="20"/>
                <w:szCs w:val="20"/>
              </w:rPr>
            </w:pPr>
            <w:r w:rsidDel="00000000" w:rsidR="00000000" w:rsidRPr="00000000">
              <w:rPr>
                <w:sz w:val="20"/>
                <w:szCs w:val="20"/>
                <w:rtl w:val="0"/>
              </w:rPr>
              <w:t xml:space="preserve">One measurement above and one directly below the canopy height</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E">
            <w:pPr>
              <w:ind w:firstLine="0"/>
              <w:rPr>
                <w:sz w:val="20"/>
                <w:szCs w:val="20"/>
              </w:rPr>
            </w:pPr>
            <w:r w:rsidDel="00000000" w:rsidR="00000000" w:rsidRPr="00000000">
              <w:rPr>
                <w:sz w:val="20"/>
                <w:szCs w:val="20"/>
                <w:rtl w:val="0"/>
              </w:rPr>
              <w:t xml:space="preserve">69</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2F">
            <w:pPr>
              <w:ind w:firstLine="0"/>
              <w:rPr>
                <w:sz w:val="20"/>
                <w:szCs w:val="20"/>
              </w:rPr>
            </w:pPr>
            <w:r w:rsidDel="00000000" w:rsidR="00000000" w:rsidRPr="00000000">
              <w:rPr>
                <w:sz w:val="20"/>
                <w:szCs w:val="20"/>
                <w:rtl w:val="0"/>
              </w:rPr>
              <w:t xml:space="preserve">32</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30">
            <w:pPr>
              <w:ind w:firstLine="0"/>
              <w:rPr>
                <w:sz w:val="20"/>
                <w:szCs w:val="20"/>
              </w:rPr>
            </w:pPr>
            <w:r w:rsidDel="00000000" w:rsidR="00000000" w:rsidRPr="00000000">
              <w:rPr>
                <w:sz w:val="20"/>
                <w:szCs w:val="20"/>
                <w:rtl w:val="0"/>
              </w:rPr>
              <w:t xml:space="preserve">AW</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31">
            <w:pPr>
              <w:ind w:firstLine="0"/>
              <w:rPr>
                <w:sz w:val="20"/>
                <w:szCs w:val="20"/>
              </w:rPr>
            </w:pPr>
            <w:r w:rsidDel="00000000" w:rsidR="00000000" w:rsidRPr="00000000">
              <w:rPr>
                <w:sz w:val="20"/>
                <w:szCs w:val="20"/>
                <w:rtl w:val="0"/>
              </w:rPr>
              <w:t xml:space="preserve">One measurement above and one within the canopy</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32">
            <w:pPr>
              <w:ind w:firstLine="0"/>
              <w:rPr>
                <w:sz w:val="20"/>
                <w:szCs w:val="20"/>
              </w:rPr>
            </w:pPr>
            <w:r w:rsidDel="00000000" w:rsidR="00000000" w:rsidRPr="00000000">
              <w:rPr>
                <w:sz w:val="20"/>
                <w:szCs w:val="20"/>
                <w:rtl w:val="0"/>
              </w:rPr>
              <w:t xml:space="preserve">90</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bottom"/>
          </w:tcPr>
          <w:p w:rsidR="00000000" w:rsidDel="00000000" w:rsidP="00000000" w:rsidRDefault="00000000" w:rsidRPr="00000000" w14:paraId="00000033">
            <w:pPr>
              <w:ind w:firstLine="0"/>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034">
      <w:pPr>
        <w:ind w:firstLine="0"/>
        <w:rPr>
          <w:highlight w:val="white"/>
        </w:rPr>
      </w:pPr>
      <w:r w:rsidDel="00000000" w:rsidR="00000000" w:rsidRPr="00000000">
        <w:rPr>
          <w:rtl w:val="0"/>
        </w:rPr>
      </w:r>
    </w:p>
    <w:p w:rsidR="00000000" w:rsidDel="00000000" w:rsidP="00000000" w:rsidRDefault="00000000" w:rsidRPr="00000000" w14:paraId="00000035">
      <w:pPr>
        <w:spacing w:after="240" w:before="240" w:lineRule="auto"/>
        <w:jc w:val="center"/>
        <w:rPr/>
      </w:pPr>
      <w:r w:rsidDel="00000000" w:rsidR="00000000" w:rsidRPr="00000000">
        <w:rPr/>
        <mc:AlternateContent>
          <mc:Choice Requires="wpg">
            <w:drawing>
              <wp:inline distB="114300" distT="114300" distL="114300" distR="114300">
                <wp:extent cx="4410075" cy="4049333"/>
                <wp:effectExtent b="0" l="0" r="0" t="0"/>
                <wp:docPr id="1" name=""/>
                <a:graphic>
                  <a:graphicData uri="http://schemas.microsoft.com/office/word/2010/wordprocessingGroup">
                    <wpg:wgp>
                      <wpg:cNvGrpSpPr/>
                      <wpg:grpSpPr>
                        <a:xfrm>
                          <a:off x="0" y="14825"/>
                          <a:ext cx="4410075" cy="4049333"/>
                          <a:chOff x="0" y="14825"/>
                          <a:chExt cx="6079725" cy="5571750"/>
                        </a:xfrm>
                      </wpg:grpSpPr>
                      <pic:pic>
                        <pic:nvPicPr>
                          <pic:cNvPr id="2" name="Shape 2" title="Map_plot.png"/>
                          <pic:cNvPicPr preferRelativeResize="0"/>
                        </pic:nvPicPr>
                        <pic:blipFill>
                          <a:blip r:embed="rId34">
                            <a:alphaModFix/>
                          </a:blip>
                          <a:stretch>
                            <a:fillRect/>
                          </a:stretch>
                        </pic:blipFill>
                        <pic:spPr>
                          <a:xfrm>
                            <a:off x="40751" y="93724"/>
                            <a:ext cx="5954248" cy="5483286"/>
                          </a:xfrm>
                          <a:prstGeom prst="rect">
                            <a:avLst/>
                          </a:prstGeom>
                          <a:noFill/>
                          <a:ln>
                            <a:noFill/>
                          </a:ln>
                        </pic:spPr>
                      </pic:pic>
                      <wps:wsp>
                        <wps:cNvSpPr/>
                        <wps:cNvPr id="3" name="Shape 3"/>
                        <wps:spPr>
                          <a:xfrm>
                            <a:off x="4200" y="24350"/>
                            <a:ext cx="6066000" cy="5552700"/>
                          </a:xfrm>
                          <a:prstGeom prst="roundRect">
                            <a:avLst>
                              <a:gd fmla="val 3893"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title="Screenshot 2025-06-03 at 1.56.59 PM.png"/>
                          <pic:cNvPicPr preferRelativeResize="0"/>
                        </pic:nvPicPr>
                        <pic:blipFill>
                          <a:blip r:embed="rId35">
                            <a:alphaModFix/>
                          </a:blip>
                          <a:stretch>
                            <a:fillRect/>
                          </a:stretch>
                        </pic:blipFill>
                        <pic:spPr>
                          <a:xfrm>
                            <a:off x="3692425" y="241475"/>
                            <a:ext cx="1247699" cy="1791275"/>
                          </a:xfrm>
                          <a:prstGeom prst="rect">
                            <a:avLst/>
                          </a:prstGeom>
                          <a:noFill/>
                          <a:ln>
                            <a:noFill/>
                          </a:ln>
                        </pic:spPr>
                      </pic:pic>
                      <wps:wsp>
                        <wps:cNvSpPr/>
                        <wps:cNvPr id="5" name="Shape 5"/>
                        <wps:spPr>
                          <a:xfrm>
                            <a:off x="4929908" y="199838"/>
                            <a:ext cx="96000" cy="500700"/>
                          </a:xfrm>
                          <a:prstGeom prst="rightBracket">
                            <a:avLst>
                              <a:gd fmla="val 8333" name="adj"/>
                            </a:avLst>
                          </a:prstGeom>
                          <a:noFill/>
                          <a:ln cap="flat" cmpd="sng" w="1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0700" lIns="60700" spcFirstLastPara="1" rIns="60700" wrap="square" tIns="60700">
                          <a:noAutofit/>
                        </wps:bodyPr>
                      </wps:wsp>
                      <wps:wsp>
                        <wps:cNvCnPr/>
                        <wps:spPr>
                          <a:xfrm>
                            <a:off x="4210170" y="828613"/>
                            <a:ext cx="757200" cy="7500"/>
                          </a:xfrm>
                          <a:prstGeom prst="straightConnector1">
                            <a:avLst/>
                          </a:prstGeom>
                          <a:noFill/>
                          <a:ln cap="flat" cmpd="sng" w="12625">
                            <a:solidFill>
                              <a:srgbClr val="000000"/>
                            </a:solidFill>
                            <a:prstDash val="dot"/>
                            <a:round/>
                            <a:headEnd len="med" w="med" type="none"/>
                            <a:tailEnd len="med" w="med" type="none"/>
                          </a:ln>
                        </wps:spPr>
                        <wps:bodyPr anchorCtr="0" anchor="ctr" bIns="60700" lIns="60700" spcFirstLastPara="1" rIns="60700" wrap="square" tIns="60700">
                          <a:noAutofit/>
                        </wps:bodyPr>
                      </wps:wsp>
                      <wps:wsp>
                        <wps:cNvSpPr txBox="1"/>
                        <wps:cNvPr id="7" name="Shape 7"/>
                        <wps:spPr>
                          <a:xfrm>
                            <a:off x="5030841" y="264950"/>
                            <a:ext cx="991500" cy="2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Above (A)</w:t>
                              </w:r>
                            </w:p>
                          </w:txbxContent>
                        </wps:txbx>
                        <wps:bodyPr anchorCtr="0" anchor="t" bIns="78600" lIns="78600" spcFirstLastPara="1" rIns="78600" wrap="square" tIns="78600">
                          <a:noAutofit/>
                        </wps:bodyPr>
                      </wps:wsp>
                      <wps:wsp>
                        <wps:cNvSpPr txBox="1"/>
                        <wps:cNvPr id="8" name="Shape 8"/>
                        <wps:spPr>
                          <a:xfrm>
                            <a:off x="4921768" y="654877"/>
                            <a:ext cx="991500" cy="2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Canopy</w:t>
                              </w:r>
                            </w:p>
                          </w:txbxContent>
                        </wps:txbx>
                        <wps:bodyPr anchorCtr="0" anchor="t" bIns="78600" lIns="78600" spcFirstLastPara="1" rIns="78600" wrap="square" tIns="78600">
                          <a:noAutofit/>
                        </wps:bodyPr>
                      </wps:wsp>
                      <wps:wsp>
                        <wps:cNvSpPr txBox="1"/>
                        <wps:cNvPr id="9" name="Shape 9"/>
                        <wps:spPr>
                          <a:xfrm>
                            <a:off x="3357050" y="93717"/>
                            <a:ext cx="277500" cy="38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w:t>
                              </w:r>
                            </w:p>
                          </w:txbxContent>
                        </wps:txbx>
                        <wps:bodyPr anchorCtr="0" anchor="t" bIns="91425" lIns="91425" spcFirstLastPara="1" rIns="91425" wrap="square" tIns="91425">
                          <a:noAutofit/>
                        </wps:bodyPr>
                      </wps:wsp>
                      <wps:wsp>
                        <wps:cNvSpPr/>
                        <wps:cNvPr id="10" name="Shape 10"/>
                        <wps:spPr>
                          <a:xfrm>
                            <a:off x="3808875" y="2383075"/>
                            <a:ext cx="602400" cy="182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36">
                            <a:alphaModFix/>
                          </a:blip>
                          <a:srcRect b="15910" l="0" r="0" t="0"/>
                          <a:stretch/>
                        </pic:blipFill>
                        <pic:spPr>
                          <a:xfrm>
                            <a:off x="3963460" y="2159578"/>
                            <a:ext cx="355907" cy="512487"/>
                          </a:xfrm>
                          <a:prstGeom prst="rect">
                            <a:avLst/>
                          </a:prstGeom>
                          <a:solidFill>
                            <a:srgbClr val="FFFFFF"/>
                          </a:solidFill>
                          <a:ln>
                            <a:noFill/>
                          </a:ln>
                        </pic:spPr>
                      </pic:pic>
                      <pic:pic>
                        <pic:nvPicPr>
                          <pic:cNvPr id="12" name="Shape 12"/>
                          <pic:cNvPicPr preferRelativeResize="0"/>
                        </pic:nvPicPr>
                        <pic:blipFill rotWithShape="1">
                          <a:blip r:embed="rId37">
                            <a:alphaModFix/>
                          </a:blip>
                          <a:srcRect b="8801" l="0" r="0" t="0"/>
                          <a:stretch/>
                        </pic:blipFill>
                        <pic:spPr>
                          <a:xfrm>
                            <a:off x="3480338" y="2149651"/>
                            <a:ext cx="355907" cy="519878"/>
                          </a:xfrm>
                          <a:prstGeom prst="rect">
                            <a:avLst/>
                          </a:prstGeom>
                          <a:noFill/>
                          <a:ln>
                            <a:noFill/>
                          </a:ln>
                        </pic:spPr>
                      </pic:pic>
                      <pic:pic>
                        <pic:nvPicPr>
                          <pic:cNvPr id="13" name="Shape 13"/>
                          <pic:cNvPicPr preferRelativeResize="0"/>
                        </pic:nvPicPr>
                        <pic:blipFill rotWithShape="1">
                          <a:blip r:embed="rId38">
                            <a:alphaModFix/>
                          </a:blip>
                          <a:srcRect b="11111" l="17040" r="0" t="3811"/>
                          <a:stretch/>
                        </pic:blipFill>
                        <pic:spPr>
                          <a:xfrm>
                            <a:off x="4477601" y="1963916"/>
                            <a:ext cx="677288" cy="711813"/>
                          </a:xfrm>
                          <a:prstGeom prst="rect">
                            <a:avLst/>
                          </a:prstGeom>
                          <a:noFill/>
                          <a:ln>
                            <a:noFill/>
                          </a:ln>
                        </pic:spPr>
                      </pic:pic>
                      <pic:pic>
                        <pic:nvPicPr>
                          <pic:cNvPr id="14" name="Shape 14"/>
                          <pic:cNvPicPr preferRelativeResize="0"/>
                        </pic:nvPicPr>
                        <pic:blipFill rotWithShape="1">
                          <a:blip r:embed="rId39">
                            <a:alphaModFix/>
                          </a:blip>
                          <a:srcRect b="10858" l="0" r="0" t="0"/>
                          <a:stretch/>
                        </pic:blipFill>
                        <pic:spPr>
                          <a:xfrm>
                            <a:off x="5327900" y="1863980"/>
                            <a:ext cx="602399" cy="795827"/>
                          </a:xfrm>
                          <a:prstGeom prst="rect">
                            <a:avLst/>
                          </a:prstGeom>
                          <a:noFill/>
                          <a:ln>
                            <a:noFill/>
                          </a:ln>
                        </pic:spPr>
                      </pic:pic>
                      <wps:wsp>
                        <wps:cNvSpPr/>
                        <wps:cNvPr id="15" name="Shape 15"/>
                        <wps:spPr>
                          <a:xfrm>
                            <a:off x="4714812" y="1974546"/>
                            <a:ext cx="440100" cy="182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5554962" y="1841871"/>
                            <a:ext cx="440100" cy="182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3796937" y="1906332"/>
                            <a:ext cx="440100" cy="182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 name="Shape 18"/>
                        <wps:spPr>
                          <a:xfrm>
                            <a:off x="5326764" y="2578001"/>
                            <a:ext cx="6024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HARV</w:t>
                              </w:r>
                            </w:p>
                          </w:txbxContent>
                        </wps:txbx>
                        <wps:bodyPr anchorCtr="0" anchor="t" bIns="78600" lIns="78600" spcFirstLastPara="1" rIns="78600" wrap="square" tIns="78600">
                          <a:noAutofit/>
                        </wps:bodyPr>
                      </wps:wsp>
                      <wps:wsp>
                        <wps:cNvSpPr txBox="1"/>
                        <wps:cNvPr id="19" name="Shape 19"/>
                        <wps:spPr>
                          <a:xfrm>
                            <a:off x="4524770" y="2594059"/>
                            <a:ext cx="6024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GUAN</w:t>
                              </w:r>
                            </w:p>
                          </w:txbxContent>
                        </wps:txbx>
                        <wps:bodyPr anchorCtr="0" anchor="t" bIns="78600" lIns="78600" spcFirstLastPara="1" rIns="78600" wrap="square" tIns="78600">
                          <a:noAutofit/>
                        </wps:bodyPr>
                      </wps:wsp>
                      <wps:wsp>
                        <wps:cNvSpPr txBox="1"/>
                        <wps:cNvPr id="20" name="Shape 20"/>
                        <wps:spPr>
                          <a:xfrm>
                            <a:off x="3908902" y="2580416"/>
                            <a:ext cx="6024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KONZ</w:t>
                              </w:r>
                            </w:p>
                          </w:txbxContent>
                        </wps:txbx>
                        <wps:bodyPr anchorCtr="0" anchor="t" bIns="78600" lIns="78600" spcFirstLastPara="1" rIns="78600" wrap="square" tIns="78600">
                          <a:noAutofit/>
                        </wps:bodyPr>
                      </wps:wsp>
                      <wps:wsp>
                        <wps:cNvSpPr txBox="1"/>
                        <wps:cNvPr id="21" name="Shape 21"/>
                        <wps:spPr>
                          <a:xfrm>
                            <a:off x="3329820" y="2587136"/>
                            <a:ext cx="602400" cy="23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JORN</w:t>
                              </w:r>
                            </w:p>
                          </w:txbxContent>
                        </wps:txbx>
                        <wps:bodyPr anchorCtr="0" anchor="t" bIns="78600" lIns="78600" spcFirstLastPara="1" rIns="78600" wrap="square" tIns="78600">
                          <a:noAutofit/>
                        </wps:bodyPr>
                      </wps:wsp>
                      <wps:wsp>
                        <wps:cNvSpPr/>
                        <wps:cNvPr id="22" name="Shape 22"/>
                        <wps:spPr>
                          <a:xfrm>
                            <a:off x="3277863" y="137850"/>
                            <a:ext cx="2722800" cy="2732700"/>
                          </a:xfrm>
                          <a:prstGeom prst="roundRect">
                            <a:avLst>
                              <a:gd fmla="val 901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210175" y="3033007"/>
                            <a:ext cx="1805100" cy="8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0679" y="3045982"/>
                            <a:ext cx="1805100" cy="8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3103" y="3089309"/>
                            <a:ext cx="1805100" cy="8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212599" y="3076334"/>
                            <a:ext cx="1805100" cy="84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4945976" y="938500"/>
                            <a:ext cx="96000" cy="967800"/>
                          </a:xfrm>
                          <a:prstGeom prst="rightBracket">
                            <a:avLst>
                              <a:gd fmla="val 8333" name="adj"/>
                            </a:avLst>
                          </a:prstGeom>
                          <a:noFill/>
                          <a:ln cap="flat" cmpd="sng" w="18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0700" lIns="60700" spcFirstLastPara="1" rIns="60700" wrap="square" tIns="60700">
                          <a:noAutofit/>
                        </wps:bodyPr>
                      </wps:wsp>
                      <wps:wsp>
                        <wps:cNvSpPr txBox="1"/>
                        <wps:cNvPr id="28" name="Shape 28"/>
                        <wps:spPr>
                          <a:xfrm>
                            <a:off x="5030841" y="1232162"/>
                            <a:ext cx="991500" cy="2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067800521850586"/>
                                  <w:vertAlign w:val="baseline"/>
                                </w:rPr>
                                <w:t xml:space="preserve">Within</w:t>
                              </w:r>
                              <w:r w:rsidDel="00000000" w:rsidR="00000000" w:rsidRPr="00000000">
                                <w:rPr>
                                  <w:rFonts w:ascii="Arial" w:cs="Arial" w:eastAsia="Arial" w:hAnsi="Arial"/>
                                  <w:b w:val="0"/>
                                  <w:i w:val="0"/>
                                  <w:smallCaps w:val="0"/>
                                  <w:strike w:val="0"/>
                                  <w:color w:val="000000"/>
                                  <w:sz w:val="24.067800521850586"/>
                                  <w:vertAlign w:val="baseline"/>
                                </w:rPr>
                                <w:t xml:space="preserve"> (W)</w:t>
                              </w:r>
                            </w:p>
                          </w:txbxContent>
                        </wps:txbx>
                        <wps:bodyPr anchorCtr="0" anchor="t" bIns="78600" lIns="78600" spcFirstLastPara="1" rIns="78600" wrap="square" tIns="78600">
                          <a:noAutofit/>
                        </wps:bodyPr>
                      </wps:wsp>
                    </wpg:wgp>
                  </a:graphicData>
                </a:graphic>
              </wp:inline>
            </w:drawing>
          </mc:Choice>
          <mc:Fallback>
            <w:drawing>
              <wp:inline distB="114300" distT="114300" distL="114300" distR="114300">
                <wp:extent cx="4410075" cy="4049333"/>
                <wp:effectExtent b="0" l="0" r="0" t="0"/>
                <wp:docPr id="1" name="image4.png"/>
                <a:graphic>
                  <a:graphicData uri="http://schemas.openxmlformats.org/drawingml/2006/picture">
                    <pic:pic>
                      <pic:nvPicPr>
                        <pic:cNvPr id="0" name="image4.png"/>
                        <pic:cNvPicPr preferRelativeResize="0"/>
                      </pic:nvPicPr>
                      <pic:blipFill>
                        <a:blip r:embed="rId40"/>
                        <a:srcRect/>
                        <a:stretch>
                          <a:fillRect/>
                        </a:stretch>
                      </pic:blipFill>
                      <pic:spPr>
                        <a:xfrm>
                          <a:off x="0" y="0"/>
                          <a:ext cx="4410075" cy="40493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Figure 1. NEON tower sites (</w:t>
      </w:r>
      <w:r w:rsidDel="00000000" w:rsidR="00000000" w:rsidRPr="00000000">
        <w:rPr>
          <w:rtl w:val="0"/>
        </w:rPr>
        <w:t xml:space="preserve">A</w:t>
      </w:r>
      <w:r w:rsidDel="00000000" w:rsidR="00000000" w:rsidRPr="00000000">
        <w:rPr>
          <w:rtl w:val="0"/>
        </w:rPr>
        <w:t xml:space="preserve">) are distributed across a range of canopy heights with measurement levels above and below the canopy (B). Across sites, canopy complexity increases with height (C). Sites are also distributed across five ecosystem types (D). </w:t>
      </w:r>
    </w:p>
    <w:p w:rsidR="00000000" w:rsidDel="00000000" w:rsidP="00000000" w:rsidRDefault="00000000" w:rsidRPr="00000000" w14:paraId="00000037">
      <w:pPr>
        <w:rPr/>
      </w:pPr>
      <w:r w:rsidDel="00000000" w:rsidR="00000000" w:rsidRPr="00000000">
        <w:rPr>
          <w:rtl w:val="0"/>
        </w:rPr>
        <w:t xml:space="preserve">The NEON sites </w:t>
      </w:r>
      <w:r w:rsidDel="00000000" w:rsidR="00000000" w:rsidRPr="00000000">
        <w:rPr>
          <w:rtl w:val="0"/>
        </w:rPr>
        <w:t xml:space="preserve">encompass 47 ecosystems, exhibiting </w:t>
      </w:r>
      <w:r w:rsidDel="00000000" w:rsidR="00000000" w:rsidRPr="00000000">
        <w:rPr>
          <w:rtl w:val="0"/>
        </w:rPr>
        <w:t xml:space="preserve">wide variation in structural properties that influence the utility of the GF approach (Figure 1).</w:t>
      </w:r>
      <w:r w:rsidDel="00000000" w:rsidR="00000000" w:rsidRPr="00000000">
        <w:rPr>
          <w:i w:val="1"/>
          <w:iCs w:val="1"/>
          <w:rtl w:val="0"/>
        </w:rPr>
        <w:t xml:space="preserve"> </w:t>
      </w:r>
      <w:r w:rsidDel="00000000" w:rsidR="00000000" w:rsidRPr="00000000">
        <w:rPr>
          <w:rtl w:val="0"/>
        </w:rPr>
        <w:t xml:space="preserve">Forests account for 62% (29 towers) of the towers and include tropical, temperate, and boreal forests, </w:t>
      </w:r>
      <w:r w:rsidDel="00000000" w:rsidR="00000000" w:rsidRPr="00000000">
        <w:rPr>
          <w:rtl w:val="0"/>
        </w:rPr>
        <w:t xml:space="preserve">as well as savannas.</w:t>
      </w:r>
      <w:r w:rsidDel="00000000" w:rsidR="00000000" w:rsidRPr="00000000">
        <w:rPr>
          <w:rtl w:val="0"/>
        </w:rPr>
        <w:t xml:space="preserve"> Canopy complexity across forest types typically suggests that more diverse canopy structures indicate a more open canopy compared to heterogeneous tall canopies </w:t>
      </w:r>
      <w:hyperlink r:id="rId41">
        <w:r w:rsidDel="00000000" w:rsidR="00000000" w:rsidRPr="00000000">
          <w:rPr>
            <w:b w:val="0"/>
            <w:bCs w:val="0"/>
            <w:color w:val="000000"/>
            <w:u w:val="none"/>
            <w:rtl w:val="0"/>
          </w:rPr>
          <w:t xml:space="preserve">(Wang et al., 2024)</w:t>
        </w:r>
      </w:hyperlink>
      <w:r w:rsidDel="00000000" w:rsidR="00000000" w:rsidRPr="00000000">
        <w:rPr>
          <w:rtl w:val="0"/>
        </w:rPr>
        <w:t xml:space="preserve">. Short-stature ecosystems include shrublands (5 towers) and grasslands (9 towers). While most towers represent upland ecosystems, temperate wetlands are also represented (2 towers). Within this wide variety of ecosystem types, canopy heights range from 0.15 to 53 meters.</w:t>
      </w:r>
      <w:r w:rsidDel="00000000" w:rsidR="00000000" w:rsidRPr="00000000">
        <w:rPr>
          <w:i w:val="1"/>
          <w:iCs w:val="1"/>
          <w:rtl w:val="0"/>
        </w:rPr>
        <w:t xml:space="preserve"> </w:t>
      </w:r>
      <w:r w:rsidDel="00000000" w:rsidR="00000000" w:rsidRPr="00000000">
        <w:rPr>
          <w:rtl w:val="0"/>
        </w:rPr>
        <w:t xml:space="preserve">While GF methods were evaluated across all sites, we further selected a subset of the 47 tower sites, distributed across canopy variability, to examine site-level effects</w:t>
      </w:r>
      <w:r w:rsidDel="00000000" w:rsidR="00000000" w:rsidRPr="00000000">
        <w:rPr>
          <w:rtl w:val="0"/>
        </w:rPr>
        <w:t xml:space="preserve">. The sites include the arid grassland in the Jornada Basin (JORN), the tallgrass prairie in Konza Prairie (KONZ),  the tropical evergreen forest at </w:t>
      </w:r>
      <w:r w:rsidDel="00000000" w:rsidR="00000000" w:rsidRPr="00000000">
        <w:rPr>
          <w:sz w:val="20"/>
          <w:szCs w:val="20"/>
          <w:rtl w:val="0"/>
        </w:rPr>
        <w:t xml:space="preserve">Guanica Forest (GUAN), and </w:t>
      </w:r>
      <w:r w:rsidDel="00000000" w:rsidR="00000000" w:rsidRPr="00000000">
        <w:rPr>
          <w:rtl w:val="0"/>
        </w:rPr>
        <w:t xml:space="preserve">the temperate mixed forest at Harvard Forest (HARV)</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8">
      <w:pPr>
        <w:ind w:left="0" w:firstLine="0"/>
        <w:rPr>
          <w:highlight w:val="white"/>
        </w:rPr>
      </w:pPr>
      <w:r w:rsidDel="00000000" w:rsidR="00000000" w:rsidRPr="00000000">
        <w:rPr>
          <w:rtl w:val="0"/>
        </w:rPr>
      </w:r>
    </w:p>
    <w:p w:rsidR="00000000" w:rsidDel="00000000" w:rsidP="00000000" w:rsidRDefault="00000000" w:rsidRPr="00000000" w14:paraId="00000039">
      <w:pPr>
        <w:pStyle w:val="Heading2"/>
        <w:shd w:fill="ffffff" w:val="clear"/>
        <w:spacing w:after="240" w:before="240" w:line="240" w:lineRule="auto"/>
        <w:rPr>
          <w:sz w:val="22"/>
          <w:szCs w:val="22"/>
        </w:rPr>
      </w:pPr>
      <w:bookmarkStart w:colFirst="0" w:colLast="0" w:name="_dpxskscca1ue" w:id="6"/>
      <w:bookmarkEnd w:id="6"/>
      <w:r w:rsidDel="00000000" w:rsidR="00000000" w:rsidRPr="00000000">
        <w:rPr>
          <w:sz w:val="22"/>
          <w:szCs w:val="22"/>
          <w:rtl w:val="0"/>
        </w:rPr>
        <w:t xml:space="preserve">2.2. Instrumentation</w:t>
      </w:r>
    </w:p>
    <w:p w:rsidR="00000000" w:rsidDel="00000000" w:rsidP="00000000" w:rsidRDefault="00000000" w:rsidRPr="00000000" w14:paraId="0000003A">
      <w:pPr>
        <w:shd w:fill="ffffff" w:val="clear"/>
        <w:spacing w:after="0" w:before="0" w:line="240" w:lineRule="auto"/>
        <w:ind w:firstLine="720"/>
        <w:rPr>
          <w:rFonts w:ascii="Times" w:cs="Times" w:eastAsia="Times" w:hAnsi="Times"/>
        </w:rPr>
      </w:pPr>
      <w:r w:rsidDel="00000000" w:rsidR="00000000" w:rsidRPr="00000000">
        <w:rPr>
          <w:rFonts w:ascii="Times" w:cs="Times" w:eastAsia="Times" w:hAnsi="Times"/>
          <w:rtl w:val="0"/>
        </w:rPr>
        <w:t xml:space="preserve">Fast response fluxes of CO</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 (μmol m</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s</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 latent heat flux </w:t>
      </w:r>
      <w:r w:rsidDel="00000000" w:rsidR="00000000" w:rsidRPr="00000000">
        <w:rPr>
          <w:rtl w:val="0"/>
        </w:rPr>
        <w:t xml:space="preserve">(W m</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Fonts w:ascii="Times" w:cs="Times" w:eastAsia="Times" w:hAnsi="Times"/>
          <w:rtl w:val="0"/>
        </w:rPr>
        <w:t xml:space="preserve">, sensible heat flux (W m</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and friction velocity, u* (m s</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 were measured using a gas analyzer (LI-COR - LI7200) and sonic anemometer (Campbell Scientific CSAT-3) at 20 Hz at the top of the towers. Eddy covariance processing at a 30-minute timescale was done following NEON protocols </w:t>
      </w:r>
      <w:hyperlink r:id="rId42">
        <w:r w:rsidDel="00000000" w:rsidR="00000000" w:rsidRPr="00000000">
          <w:rPr>
            <w:rFonts w:ascii="Times" w:cs="Times" w:eastAsia="Times" w:hAnsi="Times"/>
            <w:b w:val="0"/>
            <w:bCs w:val="0"/>
            <w:color w:val="000000"/>
            <w:u w:val="none"/>
            <w:rtl w:val="0"/>
          </w:rPr>
          <w:t xml:space="preserve">(Metzger et al., 2017)</w:t>
        </w:r>
      </w:hyperlink>
      <w:r w:rsidDel="00000000" w:rsidR="00000000" w:rsidRPr="00000000">
        <w:rPr>
          <w:rFonts w:ascii="Times" w:cs="Times" w:eastAsia="Times" w:hAnsi="Times"/>
          <w:rtl w:val="0"/>
        </w:rPr>
        <w:t xml:space="preserve"> with de-spiking of data </w:t>
      </w:r>
      <w:hyperlink r:id="rId43">
        <w:r w:rsidDel="00000000" w:rsidR="00000000" w:rsidRPr="00000000">
          <w:rPr>
            <w:rFonts w:ascii="Times" w:cs="Times" w:eastAsia="Times" w:hAnsi="Times"/>
            <w:b w:val="0"/>
            <w:bCs w:val="0"/>
            <w:color w:val="000000"/>
            <w:u w:val="none"/>
            <w:rtl w:val="0"/>
          </w:rPr>
          <w:t xml:space="preserve">(Brock, 1986; Starkenburg et al., 2016)</w:t>
        </w:r>
      </w:hyperlink>
      <w:r w:rsidDel="00000000" w:rsidR="00000000" w:rsidRPr="00000000">
        <w:rPr>
          <w:rFonts w:ascii="Times" w:cs="Times" w:eastAsia="Times" w:hAnsi="Times"/>
          <w:rtl w:val="0"/>
        </w:rPr>
        <w:t xml:space="preserve">, planar-fit coordinate rotation </w:t>
      </w:r>
      <w:hyperlink r:id="rId44">
        <w:r w:rsidDel="00000000" w:rsidR="00000000" w:rsidRPr="00000000">
          <w:rPr>
            <w:rFonts w:ascii="Times" w:cs="Times" w:eastAsia="Times" w:hAnsi="Times"/>
            <w:b w:val="0"/>
            <w:bCs w:val="0"/>
            <w:color w:val="000000"/>
            <w:u w:val="none"/>
            <w:rtl w:val="0"/>
          </w:rPr>
          <w:t xml:space="preserve">(Yuan et al., 2011)</w:t>
        </w:r>
      </w:hyperlink>
      <w:r w:rsidDel="00000000" w:rsidR="00000000" w:rsidRPr="00000000">
        <w:rPr>
          <w:rFonts w:ascii="Times" w:cs="Times" w:eastAsia="Times" w:hAnsi="Times"/>
          <w:rtl w:val="0"/>
        </w:rPr>
        <w:t xml:space="preserve">, and </w:t>
      </w:r>
      <w:r w:rsidDel="00000000" w:rsidR="00000000" w:rsidRPr="00000000">
        <w:rPr>
          <w:rFonts w:ascii="Times" w:cs="Times" w:eastAsia="Times" w:hAnsi="Times"/>
          <w:rtl w:val="0"/>
        </w:rPr>
        <w:t xml:space="preserve">corrections f</w:t>
      </w:r>
      <w:r w:rsidDel="00000000" w:rsidR="00000000" w:rsidRPr="00000000">
        <w:rPr>
          <w:rtl w:val="0"/>
        </w:rPr>
        <w:t xml:space="preserve">or the </w:t>
      </w:r>
      <w:r w:rsidDel="00000000" w:rsidR="00000000" w:rsidRPr="00000000">
        <w:rPr>
          <w:rFonts w:ascii="Times" w:cs="Times" w:eastAsia="Times" w:hAnsi="Times"/>
          <w:rtl w:val="0"/>
        </w:rPr>
        <w:t xml:space="preserve">infrared gas analyzer</w:t>
      </w:r>
      <w:r w:rsidDel="00000000" w:rsidR="00000000" w:rsidRPr="00000000">
        <w:rPr>
          <w:rFonts w:ascii="Times" w:cs="Times" w:eastAsia="Times" w:hAnsi="Times"/>
          <w:rtl w:val="0"/>
        </w:rPr>
        <w:t xml:space="preserve"> </w:t>
      </w:r>
      <w:hyperlink r:id="rId45">
        <w:r w:rsidDel="00000000" w:rsidR="00000000" w:rsidRPr="00000000">
          <w:rPr>
            <w:rFonts w:ascii="Times" w:cs="Times" w:eastAsia="Times" w:hAnsi="Times"/>
            <w:b w:val="0"/>
            <w:bCs w:val="0"/>
            <w:color w:val="000000"/>
            <w:u w:val="none"/>
            <w:rtl w:val="0"/>
          </w:rPr>
          <w:t xml:space="preserve">(Welles and McDermitt, 2005)</w:t>
        </w:r>
      </w:hyperlink>
      <w:r w:rsidDel="00000000" w:rsidR="00000000" w:rsidRPr="00000000">
        <w:rPr>
          <w:rFonts w:ascii="Times" w:cs="Times" w:eastAsia="Times" w:hAnsi="Times"/>
          <w:rtl w:val="0"/>
        </w:rPr>
        <w:t xml:space="preserve">, time lag </w:t>
      </w:r>
      <w:hyperlink r:id="rId46">
        <w:r w:rsidDel="00000000" w:rsidR="00000000" w:rsidRPr="00000000">
          <w:rPr>
            <w:rFonts w:ascii="Times" w:cs="Times" w:eastAsia="Times" w:hAnsi="Times"/>
            <w:b w:val="0"/>
            <w:bCs w:val="0"/>
            <w:color w:val="000000"/>
            <w:u w:val="none"/>
            <w:rtl w:val="0"/>
          </w:rPr>
          <w:t xml:space="preserve">(Rebmann et al., 2012)</w:t>
        </w:r>
      </w:hyperlink>
      <w:r w:rsidDel="00000000" w:rsidR="00000000" w:rsidRPr="00000000">
        <w:rPr>
          <w:rFonts w:ascii="Times" w:cs="Times" w:eastAsia="Times" w:hAnsi="Times"/>
          <w:rtl w:val="0"/>
        </w:rPr>
        <w:t xml:space="preserve">, sonic temperature </w:t>
      </w:r>
      <w:hyperlink r:id="rId47">
        <w:r w:rsidDel="00000000" w:rsidR="00000000" w:rsidRPr="00000000">
          <w:rPr>
            <w:rFonts w:ascii="Times" w:cs="Times" w:eastAsia="Times" w:hAnsi="Times"/>
            <w:b w:val="0"/>
            <w:bCs w:val="0"/>
            <w:color w:val="000000"/>
            <w:u w:val="none"/>
            <w:rtl w:val="0"/>
          </w:rPr>
          <w:t xml:space="preserve">(Schotanus et al., 1983)</w:t>
        </w:r>
      </w:hyperlink>
      <w:r w:rsidDel="00000000" w:rsidR="00000000" w:rsidRPr="00000000">
        <w:rPr>
          <w:rFonts w:ascii="Times" w:cs="Times" w:eastAsia="Times" w:hAnsi="Times"/>
          <w:rtl w:val="0"/>
        </w:rPr>
        <w:t xml:space="preserve">, and high-frequency spectral</w:t>
      </w:r>
      <w:r w:rsidDel="00000000" w:rsidR="00000000" w:rsidRPr="00000000">
        <w:rPr>
          <w:rtl w:val="0"/>
        </w:rPr>
        <w:t xml:space="preserve"> loss</w:t>
      </w:r>
      <w:r w:rsidDel="00000000" w:rsidR="00000000" w:rsidRPr="00000000">
        <w:rPr>
          <w:rFonts w:ascii="Times" w:cs="Times" w:eastAsia="Times" w:hAnsi="Times"/>
          <w:rtl w:val="0"/>
        </w:rPr>
        <w:t xml:space="preserve"> </w:t>
      </w:r>
      <w:hyperlink r:id="rId48">
        <w:r w:rsidDel="00000000" w:rsidR="00000000" w:rsidRPr="00000000">
          <w:rPr>
            <w:rFonts w:ascii="Times" w:cs="Times" w:eastAsia="Times" w:hAnsi="Times"/>
            <w:b w:val="0"/>
            <w:bCs w:val="0"/>
            <w:color w:val="000000"/>
            <w:u w:val="none"/>
            <w:rtl w:val="0"/>
          </w:rPr>
          <w:t xml:space="preserve">(Metzger et al., 2016)</w:t>
        </w:r>
      </w:hyperlink>
      <w:r w:rsidDel="00000000" w:rsidR="00000000" w:rsidRPr="00000000">
        <w:rPr>
          <w:rFonts w:ascii="Times" w:cs="Times" w:eastAsia="Times" w:hAnsi="Times"/>
          <w:rtl w:val="0"/>
        </w:rPr>
        <w:t xml:space="preserve">. </w:t>
      </w:r>
    </w:p>
    <w:p w:rsidR="00000000" w:rsidDel="00000000" w:rsidP="00000000" w:rsidRDefault="00000000" w:rsidRPr="00000000" w14:paraId="0000003B">
      <w:pPr>
        <w:shd w:fill="ffffff" w:val="clear"/>
        <w:spacing w:after="0" w:before="0" w:line="240" w:lineRule="auto"/>
        <w:ind w:firstLine="720"/>
        <w:rPr>
          <w:rFonts w:ascii="Times" w:cs="Times" w:eastAsia="Times" w:hAnsi="Times"/>
        </w:rPr>
      </w:pPr>
      <w:r w:rsidDel="00000000" w:rsidR="00000000" w:rsidRPr="00000000">
        <w:rPr>
          <w:rFonts w:ascii="Times" w:cs="Times" w:eastAsia="Times" w:hAnsi="Times"/>
          <w:rtl w:val="0"/>
        </w:rPr>
        <w:t xml:space="preserve">Meteorological data included aspirated air temperature (Thermometrics Climate RTD 100 Ω Probe) and horizontal wind speed and direction (Gill Wind Observer II) at multiple profile heights at each site. Atmospheric pressure P (kPa; Vaisala PTB 330) and relative humidity (Vaisala HMP 155) were measured at the mid-tower and the tower top, respectively. </w:t>
      </w:r>
      <w:r w:rsidDel="00000000" w:rsidR="00000000" w:rsidRPr="00000000">
        <w:rPr>
          <w:rFonts w:ascii="Times" w:cs="Times" w:eastAsia="Times" w:hAnsi="Times"/>
          <w:rtl w:val="0"/>
        </w:rPr>
        <w:t xml:space="preserve">Dry air mixing ratios of CO</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 (μmol mol</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w:t>
      </w:r>
      <w:r w:rsidDel="00000000" w:rsidR="00000000" w:rsidRPr="00000000">
        <w:rPr>
          <w:rtl w:val="0"/>
        </w:rPr>
        <w:t xml:space="preserve"> and</w:t>
      </w:r>
      <w:r w:rsidDel="00000000" w:rsidR="00000000" w:rsidRPr="00000000">
        <w:rPr>
          <w:rFonts w:ascii="Times" w:cs="Times" w:eastAsia="Times" w:hAnsi="Times"/>
          <w:rtl w:val="0"/>
        </w:rPr>
        <w:t xml:space="preserve"> H</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O (mmol mol</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w:t>
      </w:r>
      <w:r w:rsidDel="00000000" w:rsidR="00000000" w:rsidRPr="00000000">
        <w:rPr>
          <w:rtl w:val="0"/>
        </w:rPr>
        <w:t xml:space="preserve"> </w:t>
      </w:r>
      <w:r w:rsidDel="00000000" w:rsidR="00000000" w:rsidRPr="00000000">
        <w:rPr>
          <w:rFonts w:ascii="Times" w:cs="Times" w:eastAsia="Times" w:hAnsi="Times"/>
          <w:rtl w:val="0"/>
        </w:rPr>
        <w:t xml:space="preserve">were measured at multiple profile heights at each site using</w:t>
      </w:r>
      <w:r w:rsidDel="00000000" w:rsidR="00000000" w:rsidRPr="00000000">
        <w:rPr>
          <w:rFonts w:ascii="Times" w:cs="Times" w:eastAsia="Times" w:hAnsi="Times"/>
          <w:color w:val="0000ff"/>
          <w:rtl w:val="0"/>
        </w:rPr>
        <w:t xml:space="preserve"> </w:t>
      </w:r>
      <w:r w:rsidDel="00000000" w:rsidR="00000000" w:rsidRPr="00000000">
        <w:rPr>
          <w:rFonts w:ascii="Times" w:cs="Times" w:eastAsia="Times" w:hAnsi="Times"/>
          <w:rtl w:val="0"/>
        </w:rPr>
        <w:t xml:space="preserve">a Picarro G2131-i NEON-specific analyzer with additional upgrades to the CH</w:t>
      </w:r>
      <w:r w:rsidDel="00000000" w:rsidR="00000000" w:rsidRPr="00000000">
        <w:rPr>
          <w:rFonts w:ascii="Times" w:cs="Times" w:eastAsia="Times" w:hAnsi="Times"/>
          <w:vertAlign w:val="subscript"/>
          <w:rtl w:val="0"/>
        </w:rPr>
        <w:t xml:space="preserve">4</w:t>
      </w:r>
      <w:r w:rsidDel="00000000" w:rsidR="00000000" w:rsidRPr="00000000">
        <w:rPr>
          <w:rFonts w:ascii="Times" w:cs="Times" w:eastAsia="Times" w:hAnsi="Times"/>
          <w:rtl w:val="0"/>
        </w:rPr>
        <w:t xml:space="preserve"> channel. </w:t>
      </w:r>
      <w:r w:rsidDel="00000000" w:rsidR="00000000" w:rsidRPr="00000000">
        <w:rPr>
          <w:rtl w:val="0"/>
        </w:rPr>
        <w:t xml:space="preserve">The gases,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were measured at a nominal rate</w:t>
      </w:r>
      <w:r w:rsidDel="00000000" w:rsidR="00000000" w:rsidRPr="00000000">
        <w:rPr>
          <w:rtl w:val="0"/>
        </w:rPr>
        <w:t xml:space="preserve"> of 1</w:t>
      </w:r>
      <w:r w:rsidDel="00000000" w:rsidR="00000000" w:rsidRPr="00000000">
        <w:rPr>
          <w:rFonts w:ascii="Times" w:cs="Times" w:eastAsia="Times" w:hAnsi="Times"/>
          <w:rtl w:val="0"/>
        </w:rPr>
        <w:t xml:space="preserve"> Hz. </w:t>
      </w:r>
      <w:r w:rsidDel="00000000" w:rsidR="00000000" w:rsidRPr="00000000">
        <w:rPr>
          <w:rFonts w:ascii="Times" w:cs="Times" w:eastAsia="Times" w:hAnsi="Times"/>
          <w:rtl w:val="0"/>
        </w:rPr>
        <w:t xml:space="preserve">The means and variances of calibrated mixing ratios were calculated at each </w:t>
      </w:r>
      <w:r w:rsidDel="00000000" w:rsidR="00000000" w:rsidRPr="00000000">
        <w:rPr>
          <w:rtl w:val="0"/>
        </w:rPr>
        <w:t xml:space="preserve">sampling level</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w:t>
      </w:r>
      <w:r w:rsidDel="00000000" w:rsidR="00000000" w:rsidRPr="00000000">
        <w:rPr>
          <w:rtl w:val="0"/>
        </w:rPr>
        <w:t xml:space="preserve">6-minute</w:t>
      </w:r>
      <w:r w:rsidDel="00000000" w:rsidR="00000000" w:rsidRPr="00000000">
        <w:rPr>
          <w:rFonts w:ascii="Times" w:cs="Times" w:eastAsia="Times" w:hAnsi="Times"/>
          <w:rtl w:val="0"/>
        </w:rPr>
        <w:t xml:space="preserve"> sampling periods). Air was sampled from inlets </w:t>
      </w:r>
      <w:r w:rsidDel="00000000" w:rsidR="00000000" w:rsidRPr="00000000">
        <w:rPr>
          <w:rtl w:val="0"/>
        </w:rPr>
        <w:t xml:space="preserve">at each tower sampling level, starting at the top </w:t>
      </w:r>
      <w:r w:rsidDel="00000000" w:rsidR="00000000" w:rsidRPr="00000000">
        <w:rPr>
          <w:rtl w:val="0"/>
        </w:rPr>
        <w:t xml:space="preserve">and proceeding to the next lower inlet until reaching the bottom, then</w:t>
      </w:r>
      <w:r w:rsidDel="00000000" w:rsidR="00000000" w:rsidRPr="00000000">
        <w:rPr>
          <w:rFonts w:ascii="Times" w:cs="Times" w:eastAsia="Times" w:hAnsi="Times"/>
          <w:rtl w:val="0"/>
        </w:rPr>
        <w:t xml:space="preserve"> returning to the top</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3C">
      <w:pPr>
        <w:shd w:fill="ffffff" w:val="clear"/>
        <w:spacing w:after="0" w:before="0" w:line="240" w:lineRule="auto"/>
        <w:ind w:firstLine="720"/>
        <w:rPr/>
      </w:pPr>
      <w:r w:rsidDel="00000000" w:rsidR="00000000" w:rsidRPr="00000000">
        <w:rPr>
          <w:rtl w:val="0"/>
        </w:rPr>
        <w:t xml:space="preserve">The NEON towers use</w:t>
      </w:r>
      <w:r w:rsidDel="00000000" w:rsidR="00000000" w:rsidRPr="00000000">
        <w:rPr>
          <w:rtl w:val="0"/>
        </w:rPr>
        <w:t xml:space="preserve"> high-accuracy sequential sampling over the tower profile. The mixing ratio pairs used for gradient differences </w:t>
      </w:r>
      <w:r w:rsidDel="00000000" w:rsidR="00000000" w:rsidRPr="00000000">
        <w:rPr>
          <w:rtl w:val="0"/>
        </w:rPr>
        <w:t xml:space="preserve">spanned at least </w:t>
      </w:r>
      <w:r w:rsidDel="00000000" w:rsidR="00000000" w:rsidRPr="00000000">
        <w:rPr>
          <w:rtl w:val="0"/>
        </w:rPr>
        <w:t xml:space="preserve">20 minutes and had a </w:t>
      </w:r>
      <w:r w:rsidDel="00000000" w:rsidR="00000000" w:rsidRPr="00000000">
        <w:rPr>
          <w:rtl w:val="0"/>
        </w:rPr>
        <w:t xml:space="preserve">10</w:t>
      </w:r>
      <w:r w:rsidDel="00000000" w:rsidR="00000000" w:rsidRPr="00000000">
        <w:rPr>
          <w:rtl w:val="0"/>
        </w:rPr>
        <w:t xml:space="preserve">-</w:t>
      </w:r>
      <w:r w:rsidDel="00000000" w:rsidR="00000000" w:rsidRPr="00000000">
        <w:rPr>
          <w:rtl w:val="0"/>
        </w:rPr>
        <w:t xml:space="preserve">minute</w:t>
      </w:r>
      <w:r w:rsidDel="00000000" w:rsidR="00000000" w:rsidRPr="00000000">
        <w:rPr>
          <w:rtl w:val="0"/>
        </w:rPr>
        <w:t xml:space="preserve"> </w:t>
      </w:r>
      <w:r w:rsidDel="00000000" w:rsidR="00000000" w:rsidRPr="00000000">
        <w:rPr>
          <w:rtl w:val="0"/>
        </w:rPr>
        <w:t xml:space="preserve">dwell time</w:t>
      </w:r>
      <w:r w:rsidDel="00000000" w:rsidR="00000000" w:rsidRPr="00000000">
        <w:rPr>
          <w:rtl w:val="0"/>
        </w:rPr>
        <w:t xml:space="preserve"> per sampling level (4-min flux, 6-min sampling), with some pa</w:t>
      </w:r>
      <w:r w:rsidDel="00000000" w:rsidR="00000000" w:rsidRPr="00000000">
        <w:rPr>
          <w:rtl w:val="0"/>
        </w:rPr>
        <w:t xml:space="preserve">irs spanning multiple canopy levels</w:t>
      </w:r>
      <w:r w:rsidDel="00000000" w:rsidR="00000000" w:rsidRPr="00000000">
        <w:rPr>
          <w:rtl w:val="0"/>
        </w:rPr>
        <w:t xml:space="preserve">.</w:t>
      </w:r>
      <w:r w:rsidDel="00000000" w:rsidR="00000000" w:rsidRPr="00000000">
        <w:rPr>
          <w:rtl w:val="0"/>
        </w:rPr>
        <w:t xml:space="preserve"> Although sequential sampling is less than ideal, studies have shown that </w:t>
      </w:r>
      <w:r w:rsidDel="00000000" w:rsidR="00000000" w:rsidRPr="00000000">
        <w:rPr>
          <w:color w:val="222222"/>
          <w:highlight w:val="white"/>
          <w:rtl w:val="0"/>
        </w:rPr>
        <w:t xml:space="preserve">only minor errors are introduced into flux measurements when a single </w:t>
      </w:r>
      <w:r w:rsidDel="00000000" w:rsidR="00000000" w:rsidRPr="00000000">
        <w:rPr>
          <w:color w:val="222222"/>
          <w:highlight w:val="white"/>
          <w:rtl w:val="0"/>
        </w:rPr>
        <w:t xml:space="preserve">analyzer measures non-simultaneously at alternating heights </w:t>
      </w:r>
      <w:hyperlink r:id="rId49">
        <w:r w:rsidDel="00000000" w:rsidR="00000000" w:rsidRPr="00000000">
          <w:rPr>
            <w:b w:val="0"/>
            <w:bCs w:val="0"/>
            <w:color w:val="000000"/>
            <w:highlight w:val="white"/>
            <w:u w:val="none"/>
            <w:rtl w:val="0"/>
          </w:rPr>
          <w:t xml:space="preserve">(Griffith et al., 2002; Kamp et al., 2020; Nelson et al., 2019; Tanimoto et al., 2014)</w:t>
        </w:r>
      </w:hyperlink>
      <w:r w:rsidDel="00000000" w:rsidR="00000000" w:rsidRPr="00000000">
        <w:rPr>
          <w:color w:val="222222"/>
          <w:highlight w:val="white"/>
          <w:rtl w:val="0"/>
        </w:rPr>
        <w:t xml:space="preserve">.</w:t>
      </w:r>
      <w:r w:rsidDel="00000000" w:rsidR="00000000" w:rsidRPr="00000000">
        <w:rPr>
          <w:rtl w:val="0"/>
        </w:rPr>
        <w:t xml:space="preserve"> </w:t>
      </w:r>
      <w:r w:rsidDel="00000000" w:rsidR="00000000" w:rsidRPr="00000000">
        <w:rPr>
          <w:rFonts w:ascii="Times" w:cs="Times" w:eastAsia="Times" w:hAnsi="Times"/>
          <w:rtl w:val="0"/>
        </w:rPr>
        <w:t xml:space="preserve">Meteorological data </w:t>
      </w:r>
      <w:r w:rsidDel="00000000" w:rsidR="00000000" w:rsidRPr="00000000">
        <w:rPr>
          <w:rtl w:val="0"/>
        </w:rPr>
        <w:t xml:space="preserve">were</w:t>
      </w:r>
      <w:r w:rsidDel="00000000" w:rsidR="00000000" w:rsidRPr="00000000">
        <w:rPr>
          <w:rFonts w:ascii="Times" w:cs="Times" w:eastAsia="Times" w:hAnsi="Times"/>
          <w:rtl w:val="0"/>
        </w:rPr>
        <w:t xml:space="preserve"> available as </w:t>
      </w:r>
      <w:r w:rsidDel="00000000" w:rsidR="00000000" w:rsidRPr="00000000">
        <w:rPr>
          <w:rtl w:val="0"/>
        </w:rPr>
        <w:t xml:space="preserve">1- or 2-minute averages, depending on the variable, and the shortest available duration </w:t>
      </w:r>
      <w:r w:rsidDel="00000000" w:rsidR="00000000" w:rsidRPr="00000000">
        <w:rPr>
          <w:rtl w:val="0"/>
        </w:rPr>
        <w:t xml:space="preserve">was used. </w:t>
      </w:r>
      <w:r w:rsidDel="00000000" w:rsidR="00000000" w:rsidRPr="00000000">
        <w:rPr>
          <w:rFonts w:ascii="Times" w:cs="Times" w:eastAsia="Times" w:hAnsi="Times"/>
          <w:rtl w:val="0"/>
        </w:rPr>
        <w:t xml:space="preserve">Meteorological variables were aligned </w:t>
      </w:r>
      <w:r w:rsidDel="00000000" w:rsidR="00000000" w:rsidRPr="00000000">
        <w:rPr>
          <w:rtl w:val="0"/>
        </w:rPr>
        <w:t xml:space="preserve">with the paired concentration measurement window by averaging them over the</w:t>
      </w:r>
      <w:r w:rsidDel="00000000" w:rsidR="00000000" w:rsidRPr="00000000">
        <w:rPr>
          <w:rFonts w:ascii="Times" w:cs="Times" w:eastAsia="Times" w:hAnsi="Times"/>
          <w:rtl w:val="0"/>
        </w:rPr>
        <w:t xml:space="preserve"> 20-minute sampling window. </w:t>
      </w:r>
      <w:r w:rsidDel="00000000" w:rsidR="00000000" w:rsidRPr="00000000">
        <w:rPr>
          <w:rtl w:val="0"/>
        </w:rPr>
        <w:t xml:space="preserve">This approach, using linear regression for large time delays, has been used in other studies </w:t>
      </w:r>
      <w:hyperlink r:id="rId50">
        <w:r w:rsidDel="00000000" w:rsidR="00000000" w:rsidRPr="00000000">
          <w:rPr>
            <w:b w:val="0"/>
            <w:bCs w:val="0"/>
            <w:color w:val="000000"/>
            <w:u w:val="none"/>
            <w:rtl w:val="0"/>
          </w:rPr>
          <w:t xml:space="preserve">(Hall et al., 1999)</w:t>
        </w:r>
      </w:hyperlink>
      <w:r w:rsidDel="00000000" w:rsidR="00000000" w:rsidRPr="00000000">
        <w:rPr>
          <w:rtl w:val="0"/>
        </w:rPr>
        <w:t xml:space="preserve">.</w:t>
      </w:r>
      <w:r w:rsidDel="00000000" w:rsidR="00000000" w:rsidRPr="00000000">
        <w:rPr>
          <w:rtl w:val="0"/>
        </w:rPr>
        <w:t xml:space="preserve"> </w:t>
      </w:r>
      <w:r w:rsidDel="00000000" w:rsidR="00000000" w:rsidRPr="00000000">
        <w:rPr>
          <w:rFonts w:ascii="Times" w:cs="Times" w:eastAsia="Times" w:hAnsi="Times"/>
          <w:rtl w:val="0"/>
        </w:rPr>
        <w:t xml:space="preserve">Turbulent flux measurements reported as </w:t>
      </w:r>
      <w:r w:rsidDel="00000000" w:rsidR="00000000" w:rsidRPr="00000000">
        <w:rPr>
          <w:rtl w:val="0"/>
        </w:rPr>
        <w:t xml:space="preserve">30-minute</w:t>
      </w:r>
      <w:r w:rsidDel="00000000" w:rsidR="00000000" w:rsidRPr="00000000">
        <w:rPr>
          <w:rFonts w:ascii="Times" w:cs="Times" w:eastAsia="Times" w:hAnsi="Times"/>
          <w:rtl w:val="0"/>
        </w:rPr>
        <w:t xml:space="preserve"> averages were filtered using NEON’s final quality flag before linearly interpolating to the time midpoint of the combined sampling window's observed paired-level gradient mixing ratios. Additionally, due to </w:t>
      </w:r>
      <w:r w:rsidDel="00000000" w:rsidR="00000000" w:rsidRPr="00000000">
        <w:rPr>
          <w:rtl w:val="0"/>
        </w:rPr>
        <w:t xml:space="preserve">interpolation, GFs could be calculated only when both the preceding and succeeding half-hourly eddy covariance fluxes were available</w:t>
      </w:r>
      <w:r w:rsidDel="00000000" w:rsidR="00000000" w:rsidRPr="00000000">
        <w:rPr>
          <w:rFonts w:ascii="Times" w:cs="Times" w:eastAsia="Times" w:hAnsi="Times"/>
          <w:rtl w:val="0"/>
        </w:rPr>
        <w:t xml:space="preserve">. All data </w:t>
      </w:r>
      <w:r w:rsidDel="00000000" w:rsidR="00000000" w:rsidRPr="00000000">
        <w:rPr>
          <w:rtl w:val="0"/>
        </w:rPr>
        <w:t xml:space="preserve">were</w:t>
      </w:r>
      <w:r w:rsidDel="00000000" w:rsidR="00000000" w:rsidRPr="00000000">
        <w:rPr>
          <w:rFonts w:ascii="Times" w:cs="Times" w:eastAsia="Times" w:hAnsi="Times"/>
          <w:rtl w:val="0"/>
        </w:rPr>
        <w:t xml:space="preserve"> downloaded </w:t>
      </w:r>
      <w:r w:rsidDel="00000000" w:rsidR="00000000" w:rsidRPr="00000000">
        <w:rPr>
          <w:rtl w:val="0"/>
        </w:rPr>
        <w:t xml:space="preserve">using the </w:t>
      </w:r>
      <w:r w:rsidDel="00000000" w:rsidR="00000000" w:rsidRPr="00000000">
        <w:rPr>
          <w:i w:val="1"/>
          <w:iCs w:val="1"/>
          <w:rtl w:val="0"/>
        </w:rPr>
        <w:t xml:space="preserve">neonUtilities</w:t>
      </w:r>
      <w:r w:rsidDel="00000000" w:rsidR="00000000" w:rsidRPr="00000000">
        <w:rPr>
          <w:rtl w:val="0"/>
        </w:rPr>
        <w:t xml:space="preserve"> package in R (Table 2).</w:t>
      </w:r>
      <w:r w:rsidDel="00000000" w:rsidR="00000000" w:rsidRPr="00000000">
        <w:rPr>
          <w:rtl w:val="0"/>
        </w:rPr>
      </w:r>
    </w:p>
    <w:p w:rsidR="00000000" w:rsidDel="00000000" w:rsidP="00000000" w:rsidRDefault="00000000" w:rsidRPr="00000000" w14:paraId="0000003D">
      <w:pPr>
        <w:shd w:fill="ffffff" w:val="clear"/>
        <w:spacing w:after="0" w:before="0" w:line="240" w:lineRule="auto"/>
        <w:ind w:left="0" w:firstLine="0"/>
        <w:rPr/>
      </w:pPr>
      <w:r w:rsidDel="00000000" w:rsidR="00000000" w:rsidRPr="00000000">
        <w:rPr>
          <w:rtl w:val="0"/>
        </w:rPr>
      </w:r>
    </w:p>
    <w:p w:rsidR="00000000" w:rsidDel="00000000" w:rsidP="00000000" w:rsidRDefault="00000000" w:rsidRPr="00000000" w14:paraId="0000003E">
      <w:pPr>
        <w:shd w:fill="ffffff" w:val="clear"/>
        <w:spacing w:after="0" w:before="0" w:line="240" w:lineRule="auto"/>
        <w:ind w:left="0" w:firstLine="0"/>
        <w:rPr/>
      </w:pPr>
      <w:r w:rsidDel="00000000" w:rsidR="00000000" w:rsidRPr="00000000">
        <w:rPr>
          <w:rtl w:val="0"/>
        </w:rPr>
        <w:t xml:space="preserve">Table 2. We used data from the National Ecological Observatory Network (NEON). This continental-scale research platform collects long-term, open-access data on animals, soil, water, and the atmosphere across the U.S. to understand how ecosystems are changing.</w:t>
      </w:r>
    </w:p>
    <w:tbl>
      <w:tblPr>
        <w:tblStyle w:val="Table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1770"/>
        <w:gridCol w:w="3300"/>
        <w:tblGridChange w:id="0">
          <w:tblGrid>
            <w:gridCol w:w="3690"/>
            <w:gridCol w:w="1770"/>
            <w:gridCol w:w="330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Product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NEON Product ID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Reference</w:t>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Relative Humidity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DP1.00098.001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1">
              <w:r w:rsidDel="00000000" w:rsidR="00000000" w:rsidRPr="00000000">
                <w:rPr>
                  <w:b w:val="0"/>
                  <w:bCs w:val="0"/>
                  <w:color w:val="000000"/>
                  <w:u w:val="none"/>
                  <w:rtl w:val="0"/>
                </w:rPr>
                <w:t xml:space="preserve">(NEON, 2025g)</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2D wind speed and direction</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6">
            <w:pPr>
              <w:widowControl w:val="0"/>
              <w:shd w:fill="auto" w:val="clear"/>
              <w:ind w:firstLine="0"/>
              <w:rPr/>
            </w:pPr>
            <w:r w:rsidDel="00000000" w:rsidR="00000000" w:rsidRPr="00000000">
              <w:rPr>
                <w:rtl w:val="0"/>
              </w:rPr>
              <w:t xml:space="preserve">DP1.00001.001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2">
              <w:r w:rsidDel="00000000" w:rsidR="00000000" w:rsidRPr="00000000">
                <w:rPr>
                  <w:b w:val="0"/>
                  <w:bCs w:val="0"/>
                  <w:color w:val="000000"/>
                  <w:u w:val="none"/>
                  <w:rtl w:val="0"/>
                </w:rPr>
                <w:t xml:space="preserve">(NEON, 2025a)</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Photosynthetically active radiation (PAR)</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DP1.00024.001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3">
              <w:r w:rsidDel="00000000" w:rsidR="00000000" w:rsidRPr="00000000">
                <w:rPr>
                  <w:b w:val="0"/>
                  <w:bCs w:val="0"/>
                  <w:color w:val="000000"/>
                  <w:u w:val="none"/>
                  <w:rtl w:val="0"/>
                </w:rPr>
                <w:t xml:space="preserve">(NEON, 2025f)</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Bundled Eddy Covariance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DP4.00200.001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4">
              <w:r w:rsidDel="00000000" w:rsidR="00000000" w:rsidRPr="00000000">
                <w:rPr>
                  <w:b w:val="0"/>
                  <w:bCs w:val="0"/>
                  <w:color w:val="000000"/>
                  <w:u w:val="none"/>
                  <w:rtl w:val="0"/>
                </w:rPr>
                <w:t xml:space="preserve">(NEON, 2025b)</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Vegetation Indices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DP3.30026.001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5">
              <w:r w:rsidDel="00000000" w:rsidR="00000000" w:rsidRPr="00000000">
                <w:rPr>
                  <w:b w:val="0"/>
                  <w:bCs w:val="0"/>
                  <w:color w:val="000000"/>
                  <w:u w:val="none"/>
                  <w:rtl w:val="0"/>
                </w:rPr>
                <w:t xml:space="preserve">(NEON, 2025h)</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Leaf area index (LAI) mosaics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DP3.30012.001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6">
              <w:r w:rsidDel="00000000" w:rsidR="00000000" w:rsidRPr="00000000">
                <w:rPr>
                  <w:b w:val="0"/>
                  <w:bCs w:val="0"/>
                  <w:color w:val="000000"/>
                  <w:u w:val="none"/>
                  <w:rtl w:val="0"/>
                </w:rPr>
                <w:t xml:space="preserve">(NEON, 2025e)</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Ecosystem Structure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DP3.30015.001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7">
              <w:r w:rsidDel="00000000" w:rsidR="00000000" w:rsidRPr="00000000">
                <w:rPr>
                  <w:b w:val="0"/>
                  <w:bCs w:val="0"/>
                  <w:color w:val="000000"/>
                  <w:u w:val="none"/>
                  <w:rtl w:val="0"/>
                </w:rPr>
                <w:t xml:space="preserve">(NEON, 2025c)</w:t>
              </w:r>
            </w:hyperlink>
            <w:r w:rsidDel="00000000" w:rsidR="00000000" w:rsidRPr="00000000">
              <w:rPr>
                <w:rtl w:val="0"/>
              </w:rPr>
            </w:r>
          </w:p>
        </w:tc>
      </w:tr>
      <w:tr>
        <w:trPr>
          <w:cantSplit w:val="0"/>
          <w:tblHeader w:val="1"/>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Elevation-LiDAR</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DP3.30024.001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8">
              <w:r w:rsidDel="00000000" w:rsidR="00000000" w:rsidRPr="00000000">
                <w:rPr>
                  <w:b w:val="0"/>
                  <w:bCs w:val="0"/>
                  <w:color w:val="000000"/>
                  <w:u w:val="none"/>
                  <w:rtl w:val="0"/>
                </w:rPr>
                <w:t xml:space="preserve">(NEON, 2025d)</w:t>
              </w:r>
            </w:hyperlink>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A">
            <w:pPr>
              <w:widowControl w:val="0"/>
              <w:shd w:fill="auto" w:val="clear"/>
              <w:ind w:firstLine="0"/>
              <w:rPr/>
            </w:pPr>
            <w:r w:rsidDel="00000000" w:rsidR="00000000" w:rsidRPr="00000000">
              <w:rPr>
                <w:rtl w:val="0"/>
              </w:rPr>
              <w:t xml:space="preserve">Discrete Return LiDAR point cloud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B">
            <w:pPr>
              <w:widowControl w:val="0"/>
              <w:shd w:fill="auto" w:val="clear"/>
              <w:ind w:firstLine="0"/>
              <w:rPr/>
            </w:pPr>
            <w:r w:rsidDel="00000000" w:rsidR="00000000" w:rsidRPr="00000000">
              <w:rPr>
                <w:rtl w:val="0"/>
              </w:rPr>
              <w:t xml:space="preserve">DP1.30003.001</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hyperlink r:id="rId59">
              <w:r w:rsidDel="00000000" w:rsidR="00000000" w:rsidRPr="00000000">
                <w:rPr>
                  <w:b w:val="0"/>
                  <w:bCs w:val="0"/>
                  <w:color w:val="000000"/>
                  <w:highlight w:val="white"/>
                  <w:u w:val="none"/>
                  <w:rtl w:val="0"/>
                </w:rPr>
                <w:t xml:space="preserve">(NEON, 2025d; Wang et al., 2024)</w:t>
              </w:r>
            </w:hyperlink>
            <w:r w:rsidDel="00000000" w:rsidR="00000000" w:rsidRPr="00000000">
              <w:rPr>
                <w:rtl w:val="0"/>
              </w:rPr>
            </w:r>
          </w:p>
        </w:tc>
      </w:tr>
    </w:tbl>
    <w:p w:rsidR="00000000" w:rsidDel="00000000" w:rsidP="00000000" w:rsidRDefault="00000000" w:rsidRPr="00000000" w14:paraId="0000005D">
      <w:pPr>
        <w:shd w:fill="ffffff" w:val="clear"/>
        <w:spacing w:after="0" w:before="0" w:line="240" w:lineRule="auto"/>
        <w:ind w:left="0" w:firstLine="0"/>
        <w:rPr/>
      </w:pPr>
      <w:r w:rsidDel="00000000" w:rsidR="00000000" w:rsidRPr="00000000">
        <w:rPr>
          <w:rtl w:val="0"/>
        </w:rPr>
      </w:r>
    </w:p>
    <w:p w:rsidR="00000000" w:rsidDel="00000000" w:rsidP="00000000" w:rsidRDefault="00000000" w:rsidRPr="00000000" w14:paraId="0000005E">
      <w:pPr>
        <w:pStyle w:val="Heading2"/>
        <w:spacing w:after="240" w:before="240" w:line="240" w:lineRule="auto"/>
        <w:rPr>
          <w:sz w:val="22"/>
          <w:szCs w:val="22"/>
        </w:rPr>
      </w:pPr>
      <w:bookmarkStart w:colFirst="0" w:colLast="0" w:name="_kqiw5wcxe0xf" w:id="7"/>
      <w:bookmarkEnd w:id="7"/>
      <w:r w:rsidDel="00000000" w:rsidR="00000000" w:rsidRPr="00000000">
        <w:rPr>
          <w:sz w:val="22"/>
          <w:szCs w:val="22"/>
          <w:rtl w:val="0"/>
        </w:rPr>
        <w:t xml:space="preserve">2.3. </w:t>
      </w:r>
      <w:r w:rsidDel="00000000" w:rsidR="00000000" w:rsidRPr="00000000">
        <w:rPr>
          <w:sz w:val="22"/>
          <w:szCs w:val="22"/>
          <w:rtl w:val="0"/>
        </w:rPr>
        <w:t xml:space="preserve">The Eddy Covariance Method</w:t>
      </w:r>
      <w:r w:rsidDel="00000000" w:rsidR="00000000" w:rsidRPr="00000000">
        <w:rPr>
          <w:rtl w:val="0"/>
        </w:rPr>
      </w:r>
    </w:p>
    <w:p w:rsidR="00000000" w:rsidDel="00000000" w:rsidP="00000000" w:rsidRDefault="00000000" w:rsidRPr="00000000" w14:paraId="0000005F">
      <w:pPr>
        <w:shd w:fill="ffffff" w:val="clear"/>
        <w:spacing w:after="0" w:before="0" w:line="240" w:lineRule="auto"/>
        <w:ind w:firstLine="720"/>
        <w:rPr>
          <w:rFonts w:ascii="Times" w:cs="Times" w:eastAsia="Times" w:hAnsi="Times"/>
          <w:shd w:fill="fcfcfc" w:val="clear"/>
        </w:rPr>
      </w:pPr>
      <w:r w:rsidDel="00000000" w:rsidR="00000000" w:rsidRPr="00000000">
        <w:rPr>
          <w:rtl w:val="0"/>
        </w:rPr>
        <w:t xml:space="preserve">With the EC method, the net transport between the surface and the atmosphere is assumed to be one-dimensional, and the covariance between turbulent fluctuations of the vertical wind and the quantity of interest is</w:t>
      </w:r>
      <w:r w:rsidDel="00000000" w:rsidR="00000000" w:rsidRPr="00000000">
        <w:rPr>
          <w:shd w:fill="fcfcfc" w:val="clear"/>
          <w:rtl w:val="0"/>
        </w:rPr>
        <w:t xml:space="preserve"> used to calculate the vertical flux density</w:t>
      </w:r>
      <w:r w:rsidDel="00000000" w:rsidR="00000000" w:rsidRPr="00000000">
        <w:rPr>
          <w:rFonts w:ascii="Times" w:cs="Times" w:eastAsia="Times" w:hAnsi="Times"/>
          <w:shd w:fill="fcfcfc" w:val="clear"/>
          <w:rtl w:val="0"/>
        </w:rPr>
        <w:t xml:space="preserve">. Measurements </w:t>
      </w:r>
      <w:r w:rsidDel="00000000" w:rsidR="00000000" w:rsidRPr="00000000">
        <w:rPr>
          <w:shd w:fill="fcfcfc" w:val="clear"/>
          <w:rtl w:val="0"/>
        </w:rPr>
        <w:t xml:space="preserve">we</w:t>
      </w:r>
      <w:r w:rsidDel="00000000" w:rsidR="00000000" w:rsidRPr="00000000">
        <w:rPr>
          <w:rFonts w:ascii="Times" w:cs="Times" w:eastAsia="Times" w:hAnsi="Times"/>
          <w:shd w:fill="fcfcfc" w:val="clear"/>
          <w:rtl w:val="0"/>
        </w:rPr>
        <w:t xml:space="preserve">re typically made in the atmospheric </w:t>
      </w:r>
      <w:r w:rsidDel="00000000" w:rsidR="00000000" w:rsidRPr="00000000">
        <w:rPr>
          <w:rFonts w:ascii="Times" w:cs="Times" w:eastAsia="Times" w:hAnsi="Times"/>
          <w:shd w:fill="fcfcfc" w:val="clear"/>
          <w:rtl w:val="0"/>
        </w:rPr>
        <w:t xml:space="preserve">surface layer</w:t>
      </w:r>
      <w:r w:rsidDel="00000000" w:rsidR="00000000" w:rsidRPr="00000000">
        <w:rPr>
          <w:rFonts w:ascii="Times" w:cs="Times" w:eastAsia="Times" w:hAnsi="Times"/>
          <w:shd w:fill="fcfcfc" w:val="clear"/>
          <w:rtl w:val="0"/>
        </w:rPr>
        <w:t xml:space="preserve">, where nor</w:t>
      </w:r>
      <w:r w:rsidDel="00000000" w:rsidR="00000000" w:rsidRPr="00000000">
        <w:rPr>
          <w:shd w:fill="fcfcfc" w:val="clear"/>
          <w:rtl w:val="0"/>
        </w:rPr>
        <w:t xml:space="preserve">malized </w:t>
      </w:r>
      <w:r w:rsidDel="00000000" w:rsidR="00000000" w:rsidRPr="00000000">
        <w:rPr>
          <w:rFonts w:ascii="Times" w:cs="Times" w:eastAsia="Times" w:hAnsi="Times"/>
          <w:shd w:fill="fcfcfc" w:val="clear"/>
          <w:rtl w:val="0"/>
        </w:rPr>
        <w:t xml:space="preserve">fluxes are constant with height</w:t>
      </w:r>
      <w:r w:rsidDel="00000000" w:rsidR="00000000" w:rsidRPr="00000000">
        <w:rPr>
          <w:shd w:fill="fcfcfc" w:val="clear"/>
          <w:rtl w:val="0"/>
        </w:rPr>
        <w:t xml:space="preserve">, primarily represent </w:t>
      </w:r>
      <w:r w:rsidDel="00000000" w:rsidR="00000000" w:rsidRPr="00000000">
        <w:rPr>
          <w:rFonts w:ascii="Times" w:cs="Times" w:eastAsia="Times" w:hAnsi="Times"/>
          <w:shd w:fill="fcfcfc" w:val="clear"/>
          <w:rtl w:val="0"/>
        </w:rPr>
        <w:t xml:space="preserve">fluxes from the underlying surface, and </w:t>
      </w:r>
      <w:r w:rsidDel="00000000" w:rsidR="00000000" w:rsidRPr="00000000">
        <w:rPr>
          <w:shd w:fill="fcfcfc" w:val="clear"/>
          <w:rtl w:val="0"/>
        </w:rPr>
        <w:t xml:space="preserve">shear-driven</w:t>
      </w:r>
      <w:r w:rsidDel="00000000" w:rsidR="00000000" w:rsidRPr="00000000">
        <w:rPr>
          <w:rFonts w:ascii="Times" w:cs="Times" w:eastAsia="Times" w:hAnsi="Times"/>
          <w:shd w:fill="fcfcfc" w:val="clear"/>
          <w:rtl w:val="0"/>
        </w:rPr>
        <w:t xml:space="preserve"> turbulence is the dominant transport mechanism. The EC method involves </w:t>
      </w:r>
      <w:r w:rsidDel="00000000" w:rsidR="00000000" w:rsidRPr="00000000">
        <w:rPr>
          <w:shd w:fill="fcfcfc" w:val="clear"/>
          <w:rtl w:val="0"/>
        </w:rPr>
        <w:t xml:space="preserve">fast</w:t>
      </w:r>
      <w:r w:rsidDel="00000000" w:rsidR="00000000" w:rsidRPr="00000000">
        <w:rPr>
          <w:shd w:fill="fcfcfc" w:val="clear"/>
          <w:rtl w:val="0"/>
        </w:rPr>
        <w:t xml:space="preserve"> time-resolution</w:t>
      </w:r>
      <w:r w:rsidDel="00000000" w:rsidR="00000000" w:rsidRPr="00000000">
        <w:rPr>
          <w:rFonts w:ascii="Times" w:cs="Times" w:eastAsia="Times" w:hAnsi="Times"/>
          <w:shd w:fill="fcfcfc" w:val="clear"/>
          <w:rtl w:val="0"/>
        </w:rPr>
        <w:t xml:space="preserve"> measurements of turbulence and trace </w:t>
      </w:r>
      <w:r w:rsidDel="00000000" w:rsidR="00000000" w:rsidRPr="00000000">
        <w:rPr>
          <w:shd w:fill="fcfcfc" w:val="clear"/>
          <w:rtl w:val="0"/>
        </w:rPr>
        <w:t xml:space="preserve">gases,</w:t>
      </w:r>
      <w:r w:rsidDel="00000000" w:rsidR="00000000" w:rsidRPr="00000000">
        <w:rPr>
          <w:rFonts w:ascii="Times" w:cs="Times" w:eastAsia="Times" w:hAnsi="Times"/>
          <w:shd w:fill="fcfcfc" w:val="clear"/>
          <w:rtl w:val="0"/>
        </w:rPr>
        <w:t xml:space="preserve"> </w:t>
      </w:r>
      <w:r w:rsidDel="00000000" w:rsidR="00000000" w:rsidRPr="00000000">
        <w:rPr>
          <w:shd w:fill="fcfcfc" w:val="clear"/>
          <w:rtl w:val="0"/>
        </w:rPr>
        <w:t xml:space="preserve">with measurement scales typically ranging from 1 to 3 km²</w:t>
      </w:r>
      <w:r w:rsidDel="00000000" w:rsidR="00000000" w:rsidRPr="00000000">
        <w:rPr>
          <w:rFonts w:ascii="Times" w:cs="Times" w:eastAsia="Times" w:hAnsi="Times"/>
          <w:shd w:fill="fcfcfc" w:val="clear"/>
          <w:rtl w:val="0"/>
        </w:rPr>
        <w:t xml:space="preserve">, depending on the measurement height, vegetation canopy height, and turbulence characteristics. </w:t>
      </w:r>
      <w:r w:rsidDel="00000000" w:rsidR="00000000" w:rsidRPr="00000000">
        <w:rPr>
          <w:shd w:fill="fcfcfc" w:val="clear"/>
          <w:rtl w:val="0"/>
        </w:rPr>
        <w:t xml:space="preserve">Low-turbulence</w:t>
      </w:r>
      <w:r w:rsidDel="00000000" w:rsidR="00000000" w:rsidRPr="00000000">
        <w:rPr>
          <w:rFonts w:ascii="Times" w:cs="Times" w:eastAsia="Times" w:hAnsi="Times"/>
          <w:shd w:fill="fcfcfc" w:val="clear"/>
          <w:rtl w:val="0"/>
        </w:rPr>
        <w:t xml:space="preserve"> conditions </w:t>
      </w:r>
      <w:r w:rsidDel="00000000" w:rsidR="00000000" w:rsidRPr="00000000">
        <w:rPr>
          <w:shd w:fill="fcfcfc" w:val="clear"/>
          <w:rtl w:val="0"/>
        </w:rPr>
        <w:t xml:space="preserve">we</w:t>
      </w:r>
      <w:r w:rsidDel="00000000" w:rsidR="00000000" w:rsidRPr="00000000">
        <w:rPr>
          <w:rFonts w:ascii="Times" w:cs="Times" w:eastAsia="Times" w:hAnsi="Times"/>
          <w:shd w:fill="fcfcfc" w:val="clear"/>
          <w:rtl w:val="0"/>
        </w:rPr>
        <w:t xml:space="preserve">re determined following Foken and </w:t>
      </w:r>
      <w:r w:rsidDel="00000000" w:rsidR="00000000" w:rsidRPr="00000000">
        <w:rPr>
          <w:shd w:fill="fcfcfc" w:val="clear"/>
          <w:rtl w:val="0"/>
        </w:rPr>
        <w:t xml:space="preserve">L</w:t>
      </w:r>
      <w:r w:rsidDel="00000000" w:rsidR="00000000" w:rsidRPr="00000000">
        <w:rPr>
          <w:rFonts w:ascii="Times" w:cs="Times" w:eastAsia="Times" w:hAnsi="Times"/>
          <w:shd w:fill="fcfcfc" w:val="clear"/>
          <w:rtl w:val="0"/>
        </w:rPr>
        <w:t xml:space="preserve">eclerc (2004)</w:t>
      </w:r>
      <w:r w:rsidDel="00000000" w:rsidR="00000000" w:rsidRPr="00000000">
        <w:rPr>
          <w:shd w:fill="fcfcfc" w:val="clear"/>
          <w:rtl w:val="0"/>
        </w:rPr>
        <w:t xml:space="preserve">,</w:t>
      </w:r>
      <w:r w:rsidDel="00000000" w:rsidR="00000000" w:rsidRPr="00000000">
        <w:rPr>
          <w:rFonts w:ascii="Times" w:cs="Times" w:eastAsia="Times" w:hAnsi="Times"/>
          <w:shd w:fill="fcfcfc" w:val="clear"/>
          <w:rtl w:val="0"/>
        </w:rPr>
        <w:t xml:space="preserve"> </w:t>
      </w:r>
      <w:r w:rsidDel="00000000" w:rsidR="00000000" w:rsidRPr="00000000">
        <w:rPr>
          <w:rFonts w:ascii="Times" w:cs="Times" w:eastAsia="Times" w:hAnsi="Times"/>
          <w:shd w:fill="fcfcfc" w:val="clear"/>
          <w:rtl w:val="0"/>
        </w:rPr>
        <w:t xml:space="preserve">assign</w:t>
      </w:r>
      <w:r w:rsidDel="00000000" w:rsidR="00000000" w:rsidRPr="00000000">
        <w:rPr>
          <w:shd w:fill="fcfcfc" w:val="clear"/>
          <w:rtl w:val="0"/>
        </w:rPr>
        <w:t xml:space="preserve">ing</w:t>
      </w:r>
      <w:r w:rsidDel="00000000" w:rsidR="00000000" w:rsidRPr="00000000">
        <w:rPr>
          <w:rFonts w:ascii="Times" w:cs="Times" w:eastAsia="Times" w:hAnsi="Times"/>
          <w:shd w:fill="fcfcfc" w:val="clear"/>
          <w:rtl w:val="0"/>
        </w:rPr>
        <w:t xml:space="preserve"> quality flags and </w:t>
      </w:r>
      <w:r w:rsidDel="00000000" w:rsidR="00000000" w:rsidRPr="00000000">
        <w:rPr>
          <w:shd w:fill="fcfcfc" w:val="clear"/>
          <w:rtl w:val="0"/>
        </w:rPr>
        <w:t xml:space="preserve">filtering when advective transport terms dominate and lead to underestimates of surface fluxes</w:t>
      </w:r>
      <w:r w:rsidDel="00000000" w:rsidR="00000000" w:rsidRPr="00000000">
        <w:rPr>
          <w:shd w:fill="fcfcfc" w:val="clear"/>
          <w:rtl w:val="0"/>
        </w:rPr>
        <w:t xml:space="preserve"> from turbulent measurements </w:t>
      </w:r>
      <w:hyperlink r:id="rId60">
        <w:r w:rsidDel="00000000" w:rsidR="00000000" w:rsidRPr="00000000">
          <w:rPr>
            <w:b w:val="0"/>
            <w:bCs w:val="0"/>
            <w:color w:val="000000"/>
            <w:u w:val="none"/>
            <w:shd w:fill="fcfcfc" w:val="clear"/>
            <w:rtl w:val="0"/>
          </w:rPr>
          <w:t xml:space="preserve">(Foken and Leclerc, 2004)</w:t>
        </w:r>
      </w:hyperlink>
      <w:r w:rsidDel="00000000" w:rsidR="00000000" w:rsidRPr="00000000">
        <w:rPr>
          <w:rFonts w:ascii="Times" w:cs="Times" w:eastAsia="Times" w:hAnsi="Times"/>
          <w:shd w:fill="fcfcfc" w:val="clear"/>
          <w:rtl w:val="0"/>
        </w:rPr>
        <w:t xml:space="preserve">. Turbulent </w:t>
      </w:r>
      <w:r w:rsidDel="00000000" w:rsidR="00000000" w:rsidRPr="00000000">
        <w:rPr>
          <w:shd w:fill="fcfcfc" w:val="clear"/>
          <w:rtl w:val="0"/>
        </w:rPr>
        <w:t xml:space="preserve">f</w:t>
      </w:r>
      <w:r w:rsidDel="00000000" w:rsidR="00000000" w:rsidRPr="00000000">
        <w:rPr>
          <w:rFonts w:ascii="Times" w:cs="Times" w:eastAsia="Times" w:hAnsi="Times"/>
          <w:shd w:fill="fcfcfc" w:val="clear"/>
          <w:rtl w:val="0"/>
        </w:rPr>
        <w:t xml:space="preserve">luxes </w:t>
      </w:r>
      <w:r w:rsidDel="00000000" w:rsidR="00000000" w:rsidRPr="00000000">
        <w:rPr>
          <w:shd w:fill="fcfcfc" w:val="clear"/>
          <w:rtl w:val="0"/>
        </w:rPr>
        <w:t xml:space="preserve">we</w:t>
      </w:r>
      <w:r w:rsidDel="00000000" w:rsidR="00000000" w:rsidRPr="00000000">
        <w:rPr>
          <w:rFonts w:ascii="Times" w:cs="Times" w:eastAsia="Times" w:hAnsi="Times"/>
          <w:shd w:fill="fcfcfc" w:val="clear"/>
          <w:rtl w:val="0"/>
        </w:rPr>
        <w:t xml:space="preserve">re expressed with time average components represented with overbars and deviations from the mean due to turbulence represented with prime notation.</w:t>
      </w:r>
      <w:r w:rsidDel="00000000" w:rsidR="00000000" w:rsidRPr="00000000">
        <w:rPr>
          <w:shd w:fill="fcfcfc" w:val="clear"/>
          <w:rtl w:val="0"/>
        </w:rPr>
        <w:t xml:space="preserve"> Net ecosystem exchange includes the turbulent flux, advection, and storage. In our study, advection was considered negligible, and storage was not included. Although we may be biasing the ecosystem flux by not including storage, both the flux gradient and the eddy covariance are representations of the turbulent flux; as such, they are both missing the storage component and thus are comparable. </w:t>
      </w:r>
      <w:r w:rsidDel="00000000" w:rsidR="00000000" w:rsidRPr="00000000">
        <w:rPr>
          <w:rFonts w:ascii="Times" w:cs="Times" w:eastAsia="Times" w:hAnsi="Times"/>
          <w:shd w:fill="fcfcfc" w:val="clear"/>
          <w:rtl w:val="0"/>
        </w:rPr>
        <w:t xml:space="preserve">  </w:t>
      </w:r>
      <w:r w:rsidDel="00000000" w:rsidR="00000000" w:rsidRPr="00000000">
        <w:rPr>
          <w:rtl w:val="0"/>
        </w:rPr>
      </w:r>
    </w:p>
    <w:p w:rsidR="00000000" w:rsidDel="00000000" w:rsidP="00000000" w:rsidRDefault="00000000" w:rsidRPr="00000000" w14:paraId="00000060">
      <w:pPr>
        <w:pStyle w:val="Heading2"/>
        <w:spacing w:after="240" w:before="240" w:line="240" w:lineRule="auto"/>
        <w:rPr>
          <w:color w:val="000000"/>
          <w:sz w:val="22"/>
          <w:szCs w:val="22"/>
        </w:rPr>
      </w:pPr>
      <w:bookmarkStart w:colFirst="0" w:colLast="0" w:name="_bpp2iopu3rg8" w:id="8"/>
      <w:bookmarkEnd w:id="8"/>
      <w:r w:rsidDel="00000000" w:rsidR="00000000" w:rsidRPr="00000000">
        <w:rPr>
          <w:color w:val="000000"/>
          <w:sz w:val="22"/>
          <w:szCs w:val="22"/>
          <w:rtl w:val="0"/>
        </w:rPr>
        <w:t xml:space="preserve">2.4. </w:t>
      </w:r>
      <w:r w:rsidDel="00000000" w:rsidR="00000000" w:rsidRPr="00000000">
        <w:rPr>
          <w:color w:val="000000"/>
          <w:sz w:val="22"/>
          <w:szCs w:val="22"/>
          <w:rtl w:val="0"/>
        </w:rPr>
        <w:t xml:space="preserve">Flux Gradient Method</w:t>
      </w:r>
      <w:r w:rsidDel="00000000" w:rsidR="00000000" w:rsidRPr="00000000">
        <w:rPr>
          <w:rtl w:val="0"/>
        </w:rPr>
      </w:r>
    </w:p>
    <w:p w:rsidR="00000000" w:rsidDel="00000000" w:rsidP="00000000" w:rsidRDefault="00000000" w:rsidRPr="00000000" w14:paraId="00000061">
      <w:pPr>
        <w:shd w:fill="ffffff" w:val="clear"/>
        <w:spacing w:after="240" w:before="240" w:line="240" w:lineRule="auto"/>
        <w:ind w:firstLine="720"/>
        <w:rPr>
          <w:rFonts w:ascii="Times" w:cs="Times" w:eastAsia="Times" w:hAnsi="Times"/>
        </w:rPr>
      </w:pPr>
      <w:r w:rsidDel="00000000" w:rsidR="00000000" w:rsidRPr="00000000">
        <w:rPr>
          <w:rFonts w:ascii="Times" w:cs="Times" w:eastAsia="Times" w:hAnsi="Times"/>
          <w:rtl w:val="0"/>
        </w:rPr>
        <w:t xml:space="preserve">The </w:t>
      </w:r>
      <w:r w:rsidDel="00000000" w:rsidR="00000000" w:rsidRPr="00000000">
        <w:rPr>
          <w:rtl w:val="0"/>
        </w:rPr>
        <w:t xml:space="preserve">GF</w:t>
      </w:r>
      <w:r w:rsidDel="00000000" w:rsidR="00000000" w:rsidRPr="00000000">
        <w:rPr>
          <w:rFonts w:ascii="Times" w:cs="Times" w:eastAsia="Times" w:hAnsi="Times"/>
          <w:rtl w:val="0"/>
        </w:rPr>
        <w:t xml:space="preserve"> method utilize</w:t>
      </w:r>
      <w:r w:rsidDel="00000000" w:rsidR="00000000" w:rsidRPr="00000000">
        <w:rPr>
          <w:rtl w:val="0"/>
        </w:rPr>
        <w:t xml:space="preserve">d</w:t>
      </w:r>
      <w:r w:rsidDel="00000000" w:rsidR="00000000" w:rsidRPr="00000000">
        <w:rPr>
          <w:rFonts w:ascii="Times" w:cs="Times" w:eastAsia="Times" w:hAnsi="Times"/>
          <w:rtl w:val="0"/>
        </w:rPr>
        <w:t xml:space="preserve"> the difference in concentrations measured at two heights and</w:t>
      </w:r>
      <w:r w:rsidDel="00000000" w:rsidR="00000000" w:rsidRPr="00000000">
        <w:rPr>
          <w:rFonts w:ascii="Times" w:cs="Times" w:eastAsia="Times" w:hAnsi="Times"/>
          <w:rtl w:val="0"/>
        </w:rPr>
        <w:t xml:space="preserve"> the assumption that turbulent transfer of </w:t>
      </w:r>
      <w:r w:rsidDel="00000000" w:rsidR="00000000" w:rsidRPr="00000000">
        <w:rPr>
          <w:rtl w:val="0"/>
        </w:rPr>
        <w:t xml:space="preserve">scalars</w:t>
      </w:r>
      <w:r w:rsidDel="00000000" w:rsidR="00000000" w:rsidRPr="00000000">
        <w:rPr>
          <w:rFonts w:ascii="Times" w:cs="Times" w:eastAsia="Times" w:hAnsi="Times"/>
          <w:rtl w:val="0"/>
        </w:rPr>
        <w:t xml:space="preserve"> </w:t>
      </w:r>
      <w:r w:rsidDel="00000000" w:rsidR="00000000" w:rsidRPr="00000000">
        <w:rPr>
          <w:rtl w:val="0"/>
        </w:rPr>
        <w:t xml:space="preserve">is</w:t>
      </w:r>
      <w:r w:rsidDel="00000000" w:rsidR="00000000" w:rsidRPr="00000000">
        <w:rPr>
          <w:rFonts w:ascii="Times" w:cs="Times" w:eastAsia="Times" w:hAnsi="Times"/>
          <w:rtl w:val="0"/>
        </w:rPr>
        <w:t xml:space="preserve"> analogous to</w:t>
      </w:r>
      <w:r w:rsidDel="00000000" w:rsidR="00000000" w:rsidRPr="00000000">
        <w:rPr>
          <w:rtl w:val="0"/>
        </w:rPr>
        <w:t xml:space="preserve"> molecular</w:t>
      </w:r>
      <w:r w:rsidDel="00000000" w:rsidR="00000000" w:rsidRPr="00000000">
        <w:rPr>
          <w:rFonts w:ascii="Times" w:cs="Times" w:eastAsia="Times" w:hAnsi="Times"/>
          <w:rtl w:val="0"/>
        </w:rPr>
        <w:t xml:space="preserve"> diffusion</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The standard </w:t>
      </w:r>
      <w:r w:rsidDel="00000000" w:rsidR="00000000" w:rsidRPr="00000000">
        <w:rPr>
          <w:rtl w:val="0"/>
        </w:rPr>
        <w:t xml:space="preserve">approach</w:t>
      </w:r>
      <w:r w:rsidDel="00000000" w:rsidR="00000000" w:rsidRPr="00000000">
        <w:rPr>
          <w:rFonts w:ascii="Times" w:cs="Times" w:eastAsia="Times" w:hAnsi="Times"/>
          <w:rtl w:val="0"/>
        </w:rPr>
        <w:t xml:space="preserve"> is expressed as:</w:t>
      </w:r>
      <w:r w:rsidDel="00000000" w:rsidR="00000000" w:rsidRPr="00000000">
        <w:rPr>
          <w:rtl w:val="0"/>
        </w:rPr>
      </w:r>
    </w:p>
    <w:p w:rsidR="00000000" w:rsidDel="00000000" w:rsidP="00000000" w:rsidRDefault="00000000" w:rsidRPr="00000000" w14:paraId="00000062">
      <w:pPr>
        <w:spacing w:after="240" w:before="240" w:line="240" w:lineRule="auto"/>
        <w:ind w:left="0" w:firstLine="720"/>
        <w:rPr>
          <w:rFonts w:ascii="Times" w:cs="Times" w:eastAsia="Times" w:hAnsi="Times"/>
        </w:rPr>
      </w:pPr>
      <m:oMath>
        <m:r>
          <w:rPr>
            <w:rFonts w:ascii="Times" w:cs="Times" w:eastAsia="Times" w:hAnsi="Times"/>
            <w:i w:val="1"/>
            <w:iCs w:val="1"/>
          </w:rPr>
          <m:t xml:space="preserve">F = </m:t>
        </m:r>
        <m:sSub>
          <m:sSubPr>
            <m:ctrlPr>
              <w:rPr>
                <w:i w:val="1"/>
                <w:iCs w:val="1"/>
              </w:rPr>
            </m:ctrlPr>
          </m:sSubPr>
          <m:e>
            <m:r>
              <w:rPr>
                <w:rFonts w:ascii="Times" w:cs="Times" w:eastAsia="Times" w:hAnsi="Times"/>
                <w:i w:val="1"/>
                <w:iCs w:val="1"/>
              </w:rPr>
              <m:t xml:space="preserve">-⍴</m:t>
            </m:r>
          </m:e>
          <m:sub>
            <m:r>
              <w:rPr>
                <w:i w:val="1"/>
                <w:iCs w:val="1"/>
              </w:rPr>
              <m:t xml:space="preserve">d</m:t>
            </m:r>
          </m:sub>
        </m:sSub>
        <m:r>
          <w:rPr>
            <w:rFonts w:ascii="Times" w:cs="Times" w:eastAsia="Times" w:hAnsi="Times"/>
            <w:i w:val="1"/>
            <w:iCs w:val="1"/>
          </w:rPr>
          <m:t xml:space="preserve"> K </m:t>
        </m:r>
        <m:f>
          <m:fPr>
            <m:ctrlPr>
              <w:rPr>
                <w:rFonts w:ascii="Times" w:cs="Times" w:eastAsia="Times" w:hAnsi="Times"/>
                <w:i w:val="1"/>
                <w:iCs w:val="1"/>
              </w:rPr>
            </m:ctrlPr>
          </m:fPr>
          <m:num>
            <m:r>
              <w:rPr>
                <w:rFonts w:ascii="Times" w:cs="Times" w:eastAsia="Times" w:hAnsi="Times"/>
                <w:i w:val="1"/>
                <w:iCs w:val="1"/>
              </w:rPr>
              <m:t>∂</m:t>
            </m:r>
            <m:r>
              <w:rPr>
                <w:rFonts w:ascii="Times" w:cs="Times" w:eastAsia="Times" w:hAnsi="Times"/>
                <w:i w:val="1"/>
                <w:iCs w:val="1"/>
              </w:rPr>
              <m:t xml:space="preserve">C</m:t>
            </m:r>
          </m:num>
          <m:den>
            <m:r>
              <w:rPr>
                <w:rFonts w:ascii="Times" w:cs="Times" w:eastAsia="Times" w:hAnsi="Times"/>
                <w:i w:val="1"/>
                <w:iCs w:val="1"/>
              </w:rPr>
              <m:t>∂</m:t>
            </m:r>
            <m:r>
              <w:rPr>
                <w:rFonts w:ascii="Times" w:cs="Times" w:eastAsia="Times" w:hAnsi="Times"/>
                <w:i w:val="1"/>
                <w:iCs w:val="1"/>
              </w:rPr>
              <m:t xml:space="preserve">z</m:t>
            </m:r>
          </m:den>
        </m:f>
      </m:oMath>
      <w:r w:rsidDel="00000000" w:rsidR="00000000" w:rsidRPr="00000000">
        <w:rPr>
          <w:rFonts w:ascii="Times" w:cs="Times" w:eastAsia="Times" w:hAnsi="Times"/>
          <w:i w:val="1"/>
          <w:iCs w:val="1"/>
          <w:rtl w:val="0"/>
        </w:rPr>
        <w:tab/>
      </w:r>
      <w:r w:rsidDel="00000000" w:rsidR="00000000" w:rsidRPr="00000000">
        <w:rPr>
          <w:rFonts w:ascii="Times" w:cs="Times" w:eastAsia="Times" w:hAnsi="Times"/>
          <w:rtl w:val="0"/>
        </w:rPr>
        <w:tab/>
        <w:tab/>
        <w:tab/>
        <w:tab/>
        <w:tab/>
        <w:tab/>
        <w:tab/>
        <w:t xml:space="preserve">Eq.</w:t>
      </w:r>
      <w:r w:rsidDel="00000000" w:rsidR="00000000" w:rsidRPr="00000000">
        <w:rPr>
          <w:rFonts w:ascii="Times" w:cs="Times" w:eastAsia="Times" w:hAnsi="Times"/>
          <w:rtl w:val="0"/>
        </w:rPr>
        <w:t xml:space="preserve"> 2</w:t>
      </w:r>
      <w:r w:rsidDel="00000000" w:rsidR="00000000" w:rsidRPr="00000000">
        <w:rPr>
          <w:rtl w:val="0"/>
        </w:rPr>
      </w:r>
    </w:p>
    <w:p w:rsidR="00000000" w:rsidDel="00000000" w:rsidP="00000000" w:rsidRDefault="00000000" w:rsidRPr="00000000" w14:paraId="00000063">
      <w:pPr>
        <w:spacing w:after="0" w:before="0" w:line="240" w:lineRule="auto"/>
        <w:ind w:left="0" w:firstLine="0"/>
        <w:rPr/>
      </w:pPr>
      <w:r w:rsidDel="00000000" w:rsidR="00000000" w:rsidRPr="00000000">
        <w:rPr>
          <w:rFonts w:ascii="Times" w:cs="Times" w:eastAsia="Times" w:hAnsi="Times"/>
          <w:rtl w:val="0"/>
        </w:rPr>
        <w:t xml:space="preserve">where </w:t>
      </w:r>
      <w:r w:rsidDel="00000000" w:rsidR="00000000" w:rsidRPr="00000000">
        <w:rPr>
          <w:rFonts w:ascii="Times" w:cs="Times" w:eastAsia="Times" w:hAnsi="Times"/>
          <w:i w:val="1"/>
          <w:iCs w:val="1"/>
          <w:rtl w:val="0"/>
        </w:rPr>
        <w:t xml:space="preserve">F</w:t>
      </w:r>
      <w:r w:rsidDel="00000000" w:rsidR="00000000" w:rsidRPr="00000000">
        <w:rPr>
          <w:rFonts w:ascii="Times" w:cs="Times" w:eastAsia="Times" w:hAnsi="Times"/>
          <w:rtl w:val="0"/>
        </w:rPr>
        <w:t xml:space="preserve"> is the target turbulent flux (e.g., CO</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 H</w:t>
      </w:r>
      <w:r w:rsidDel="00000000" w:rsidR="00000000" w:rsidRPr="00000000">
        <w:rPr>
          <w:rFonts w:ascii="Times" w:cs="Times" w:eastAsia="Times" w:hAnsi="Times"/>
          <w:vertAlign w:val="subscript"/>
          <w:rtl w:val="0"/>
        </w:rPr>
        <w:t xml:space="preserve">2</w:t>
      </w:r>
      <w:r w:rsidDel="00000000" w:rsidR="00000000" w:rsidRPr="00000000">
        <w:rPr>
          <w:rFonts w:ascii="Times" w:cs="Times" w:eastAsia="Times" w:hAnsi="Times"/>
          <w:rtl w:val="0"/>
        </w:rPr>
        <w:t xml:space="preserve">O, or CH</w:t>
      </w:r>
      <w:r w:rsidDel="00000000" w:rsidR="00000000" w:rsidRPr="00000000">
        <w:rPr>
          <w:rFonts w:ascii="Times" w:cs="Times" w:eastAsia="Times" w:hAnsi="Times"/>
          <w:vertAlign w:val="subscript"/>
          <w:rtl w:val="0"/>
        </w:rPr>
        <w:t xml:space="preserve">4</w:t>
      </w:r>
      <w:r w:rsidDel="00000000" w:rsidR="00000000" w:rsidRPr="00000000">
        <w:rPr>
          <w:rFonts w:ascii="Times" w:cs="Times" w:eastAsia="Times" w:hAnsi="Times"/>
          <w:rtl w:val="0"/>
        </w:rPr>
        <w:t xml:space="preserve">; μmol m</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s</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m:oMath>
        <m:r>
          <w:rPr>
            <w:rFonts w:ascii="Times" w:cs="Times" w:eastAsia="Times" w:hAnsi="Times"/>
            <w:i w:val="1"/>
            <w:iCs w:val="1"/>
          </w:rPr>
          <m:t xml:space="preserve">⍴</m:t>
        </m:r>
      </m:oMath>
      <w:r w:rsidDel="00000000" w:rsidR="00000000" w:rsidRPr="00000000">
        <w:rPr>
          <w:i w:val="1"/>
          <w:iCs w:val="1"/>
          <w:vertAlign w:val="subscript"/>
          <w:rtl w:val="0"/>
        </w:rPr>
        <w:t xml:space="preserve">d</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rtl w:val="0"/>
        </w:rPr>
        <w:t xml:space="preserve">is the dry air density (mol m</w:t>
      </w:r>
      <w:r w:rsidDel="00000000" w:rsidR="00000000" w:rsidRPr="00000000">
        <w:rPr>
          <w:rFonts w:ascii="Times" w:cs="Times" w:eastAsia="Times" w:hAnsi="Times"/>
          <w:vertAlign w:val="superscript"/>
          <w:rtl w:val="0"/>
        </w:rPr>
        <w:t xml:space="preserve">-3</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C</w:t>
      </w:r>
      <w:r w:rsidDel="00000000" w:rsidR="00000000" w:rsidRPr="00000000">
        <w:rPr>
          <w:rFonts w:ascii="Times" w:cs="Times" w:eastAsia="Times" w:hAnsi="Times"/>
          <w:rtl w:val="0"/>
        </w:rPr>
        <w:t xml:space="preserve"> is the scalar </w:t>
      </w:r>
      <w:r w:rsidDel="00000000" w:rsidR="00000000" w:rsidRPr="00000000">
        <w:rPr>
          <w:rFonts w:ascii="Times" w:cs="Times" w:eastAsia="Times" w:hAnsi="Times"/>
          <w:rtl w:val="0"/>
        </w:rPr>
        <w:t xml:space="preserve">dry air mixing ratio</w:t>
      </w:r>
      <w:r w:rsidDel="00000000" w:rsidR="00000000" w:rsidRPr="00000000">
        <w:rPr>
          <w:rFonts w:ascii="Times" w:cs="Times" w:eastAsia="Times" w:hAnsi="Times"/>
          <w:rtl w:val="0"/>
        </w:rPr>
        <w:t xml:space="preserve"> (μmol mol</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 at height </w:t>
      </w:r>
      <w:r w:rsidDel="00000000" w:rsidR="00000000" w:rsidRPr="00000000">
        <w:rPr>
          <w:rFonts w:ascii="Times" w:cs="Times" w:eastAsia="Times" w:hAnsi="Times"/>
          <w:i w:val="1"/>
          <w:iCs w:val="1"/>
          <w:rtl w:val="0"/>
        </w:rPr>
        <w:t xml:space="preserve">z</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(m), and </w:t>
      </w:r>
      <w:r w:rsidDel="00000000" w:rsidR="00000000" w:rsidRPr="00000000">
        <w:rPr>
          <w:rFonts w:ascii="Times" w:cs="Times" w:eastAsia="Times" w:hAnsi="Times"/>
          <w:i w:val="1"/>
          <w:iCs w:val="1"/>
          <w:rtl w:val="0"/>
        </w:rPr>
        <w:t xml:space="preserve">K</w:t>
      </w:r>
      <w:r w:rsidDel="00000000" w:rsidR="00000000" w:rsidRPr="00000000">
        <w:rPr>
          <w:rFonts w:ascii="Times" w:cs="Times" w:eastAsia="Times" w:hAnsi="Times"/>
          <w:rtl w:val="0"/>
        </w:rPr>
        <w:t xml:space="preserve"> is eddy diffusivity (m</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 s</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Using dry air mixing ratios eliminates </w:t>
      </w:r>
      <w:r w:rsidDel="00000000" w:rsidR="00000000" w:rsidRPr="00000000">
        <w:rPr>
          <w:rtl w:val="0"/>
        </w:rPr>
        <w:t xml:space="preserve">density effects</w:t>
      </w:r>
      <w:r w:rsidDel="00000000" w:rsidR="00000000" w:rsidRPr="00000000">
        <w:rPr>
          <w:rFonts w:ascii="Times" w:cs="Times" w:eastAsia="Times" w:hAnsi="Times"/>
          <w:rtl w:val="0"/>
        </w:rPr>
        <w:t xml:space="preserve">. One challenge of the gradient-flux method </w:t>
      </w:r>
      <w:r w:rsidDel="00000000" w:rsidR="00000000" w:rsidRPr="00000000">
        <w:rPr>
          <w:rtl w:val="0"/>
        </w:rPr>
        <w:t xml:space="preserve">is to parameterize</w:t>
      </w:r>
      <w:r w:rsidDel="00000000" w:rsidR="00000000" w:rsidRPr="00000000">
        <w:rPr>
          <w:rtl w:val="0"/>
        </w:rPr>
        <w:t xml:space="preserve"> the eddy diffusivity (</w:t>
      </w:r>
      <w:r w:rsidDel="00000000" w:rsidR="00000000" w:rsidRPr="00000000">
        <w:rPr>
          <w:i w:val="1"/>
          <w:iCs w:val="1"/>
          <w:rtl w:val="0"/>
        </w:rPr>
        <w:t xml:space="preserve">K</w:t>
      </w:r>
      <w:r w:rsidDel="00000000" w:rsidR="00000000" w:rsidRPr="00000000">
        <w:rPr>
          <w:rtl w:val="0"/>
        </w:rPr>
        <w:t xml:space="preserve">), which can be determined from the Monin-Obukhov similarity theory (Dyer and Hicks, 1970) or, as suggested by Miyata et al. (2000), from</w:t>
      </w:r>
      <w:r w:rsidDel="00000000" w:rsidR="00000000" w:rsidRPr="00000000">
        <w:rPr>
          <w:rtl w:val="0"/>
        </w:rPr>
        <w:t xml:space="preserve"> the friction velocity derived from a sonic anemometer</w:t>
      </w:r>
      <w:r w:rsidDel="00000000" w:rsidR="00000000" w:rsidRPr="00000000">
        <w:rPr>
          <w:rtl w:val="0"/>
        </w:rPr>
        <w:t xml:space="preserve"> </w:t>
      </w:r>
      <w:hyperlink r:id="rId61">
        <w:r w:rsidDel="00000000" w:rsidR="00000000" w:rsidRPr="00000000">
          <w:rPr>
            <w:b w:val="0"/>
            <w:bCs w:val="0"/>
            <w:color w:val="000000"/>
            <w:u w:val="none"/>
            <w:rtl w:val="0"/>
          </w:rPr>
          <w:t xml:space="preserve">(Miyata et al., 2000)</w:t>
        </w:r>
      </w:hyperlink>
      <w:r w:rsidDel="00000000" w:rsidR="00000000" w:rsidRPr="00000000">
        <w:rPr>
          <w:rtl w:val="0"/>
        </w:rPr>
        <w:t xml:space="preserve">. </w:t>
      </w:r>
    </w:p>
    <w:p w:rsidR="00000000" w:rsidDel="00000000" w:rsidP="00000000" w:rsidRDefault="00000000" w:rsidRPr="00000000" w14:paraId="00000064">
      <w:pPr>
        <w:pStyle w:val="Heading3"/>
        <w:rPr/>
      </w:pPr>
      <w:bookmarkStart w:colFirst="0" w:colLast="0" w:name="_frq1q166gf7u" w:id="9"/>
      <w:bookmarkEnd w:id="9"/>
      <w:r w:rsidDel="00000000" w:rsidR="00000000" w:rsidRPr="00000000">
        <w:rPr>
          <w:rtl w:val="0"/>
        </w:rPr>
        <w:t xml:space="preserve">2.4.1. Modified Bowen Ratio</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Fluxes were estimated following the MBR approach (Eq. 3) by expressing Eq. 2 for two fluxes, F</w:t>
      </w:r>
      <w:r w:rsidDel="00000000" w:rsidR="00000000" w:rsidRPr="00000000">
        <w:rPr>
          <w:vertAlign w:val="subscript"/>
          <w:rtl w:val="0"/>
        </w:rPr>
        <w:t xml:space="preserve">1</w:t>
      </w:r>
      <w:r w:rsidDel="00000000" w:rsidR="00000000" w:rsidRPr="00000000">
        <w:rPr>
          <w:rtl w:val="0"/>
        </w:rPr>
        <w:t xml:space="preserve"> and F</w:t>
      </w:r>
      <w:r w:rsidDel="00000000" w:rsidR="00000000" w:rsidRPr="00000000">
        <w:rPr>
          <w:vertAlign w:val="subscript"/>
          <w:rtl w:val="0"/>
        </w:rPr>
        <w:t xml:space="preserve">2</w:t>
      </w:r>
      <w:r w:rsidDel="00000000" w:rsidR="00000000" w:rsidRPr="00000000">
        <w:rPr>
          <w:rtl w:val="0"/>
        </w:rPr>
        <w:t xml:space="preserve">, taking the ratio, leading </w:t>
      </w:r>
      <w:r w:rsidDel="00000000" w:rsidR="00000000" w:rsidRPr="00000000">
        <w:rPr>
          <w:i w:val="1"/>
          <w:iCs w:val="1"/>
          <w:rtl w:val="0"/>
        </w:rPr>
        <w:t xml:space="preserve">K</w:t>
      </w:r>
      <w:r w:rsidDel="00000000" w:rsidR="00000000" w:rsidRPr="00000000">
        <w:rPr>
          <w:rtl w:val="0"/>
        </w:rPr>
        <w:t xml:space="preserve"> to cancel out, and rearranging to:</w:t>
      </w:r>
    </w:p>
    <w:p w:rsidR="00000000" w:rsidDel="00000000" w:rsidP="00000000" w:rsidRDefault="00000000" w:rsidRPr="00000000" w14:paraId="00000066">
      <w:pPr>
        <w:spacing w:after="240" w:before="240" w:lineRule="auto"/>
        <w:rPr/>
      </w:pPr>
      <m:oMath>
        <m:sSub>
          <m:sSubPr>
            <m:ctrlPr>
              <w:rPr/>
            </m:ctrlPr>
          </m:sSubPr>
          <m:e>
            <m:r>
              <w:rPr/>
              <m:t xml:space="preserve">F</m:t>
            </m:r>
          </m:e>
          <m:sub>
            <m:r>
              <w:rPr/>
              <m:t xml:space="preserve">2</m:t>
            </m:r>
          </m:sub>
        </m:sSub>
        <m:r>
          <w:rPr/>
          <m:t xml:space="preserve"> = </m:t>
        </m:r>
        <m:sSub>
          <m:sSubPr>
            <m:ctrlPr>
              <w:rPr/>
            </m:ctrlPr>
          </m:sSubPr>
          <m:e>
            <m:r>
              <w:rPr/>
              <m:t xml:space="preserve">F</m:t>
            </m:r>
          </m:e>
          <m:sub>
            <m:r>
              <w:rPr/>
              <m:t xml:space="preserve">1</m:t>
            </m:r>
          </m:sub>
        </m:sSub>
        <m:r>
          <w:rPr/>
          <m:t xml:space="preserve"> </m:t>
        </m:r>
        <m:f>
          <m:fPr>
            <m:ctrlPr>
              <w:rPr/>
            </m:ctrlPr>
          </m:fPr>
          <m:num>
            <m:r>
              <w:rPr/>
              <m:t xml:space="preserve">( </m:t>
            </m:r>
            <m:r>
              <w:rPr/>
              <m:t>Δ</m:t>
            </m:r>
            <m:sSub>
              <m:sSubPr>
                <m:ctrlPr>
                  <w:rPr/>
                </m:ctrlPr>
              </m:sSubPr>
              <m:e>
                <m:r>
                  <w:rPr/>
                  <m:t xml:space="preserve">C</m:t>
                </m:r>
              </m:e>
              <m:sub>
                <m:r>
                  <w:rPr/>
                  <m:t xml:space="preserve">2</m:t>
                </m:r>
              </m:sub>
            </m:sSub>
            <m:r>
              <w:rPr/>
              <m:t xml:space="preserve"> )</m:t>
            </m:r>
          </m:num>
          <m:den>
            <m:r>
              <w:rPr/>
              <m:t xml:space="preserve">( </m:t>
            </m:r>
            <m:r>
              <w:rPr/>
              <m:t>Δ</m:t>
            </m:r>
            <m:sSub>
              <m:sSubPr>
                <m:ctrlPr>
                  <w:rPr/>
                </m:ctrlPr>
              </m:sSubPr>
              <m:e>
                <m:r>
                  <w:rPr/>
                  <m:t xml:space="preserve">C</m:t>
                </m:r>
              </m:e>
              <m:sub>
                <m:r>
                  <w:rPr/>
                  <m:t xml:space="preserve">1</m:t>
                </m:r>
              </m:sub>
            </m:sSub>
            <m:r>
              <w:rPr/>
              <m:t xml:space="preserve">)</m:t>
            </m:r>
          </m:den>
        </m:f>
      </m:oMath>
      <w:r w:rsidDel="00000000" w:rsidR="00000000" w:rsidRPr="00000000">
        <w:rPr>
          <w:rtl w:val="0"/>
        </w:rPr>
        <w:t xml:space="preserve">     </w:t>
        <w:tab/>
        <w:tab/>
        <w:tab/>
        <w:tab/>
        <w:tab/>
        <w:tab/>
        <w:tab/>
        <w:tab/>
        <w:tab/>
        <w:t xml:space="preserve">Eq. 3</w:t>
      </w:r>
    </w:p>
    <w:p w:rsidR="00000000" w:rsidDel="00000000" w:rsidP="00000000" w:rsidRDefault="00000000" w:rsidRPr="00000000" w14:paraId="00000067">
      <w:pPr>
        <w:spacing w:after="240" w:before="240" w:lineRule="auto"/>
        <w:ind w:firstLine="0"/>
        <w:rPr>
          <w:highlight w:val="yellow"/>
        </w:rPr>
      </w:pPr>
      <w:r w:rsidDel="00000000" w:rsidR="00000000" w:rsidRPr="00000000">
        <w:rPr>
          <w:rtl w:val="0"/>
        </w:rPr>
        <w:t xml:space="preserve">Where F</w:t>
      </w:r>
      <w:r w:rsidDel="00000000" w:rsidR="00000000" w:rsidRPr="00000000">
        <w:rPr>
          <w:vertAlign w:val="subscript"/>
          <w:rtl w:val="0"/>
        </w:rPr>
        <w:t xml:space="preserve">2</w:t>
      </w:r>
      <w:r w:rsidDel="00000000" w:rsidR="00000000" w:rsidRPr="00000000">
        <w:rPr>
          <w:rtl w:val="0"/>
        </w:rPr>
        <w:t xml:space="preserve"> is the target flux, </w:t>
      </w:r>
      <w:r w:rsidDel="00000000" w:rsidR="00000000" w:rsidRPr="00000000">
        <w:rPr>
          <w:i w:val="1"/>
          <w:iCs w:val="1"/>
          <w:rtl w:val="0"/>
        </w:rPr>
        <w:t xml:space="preserve">F</w:t>
      </w:r>
      <w:r w:rsidDel="00000000" w:rsidR="00000000" w:rsidRPr="00000000">
        <w:rPr>
          <w:i w:val="1"/>
          <w:iCs w:val="1"/>
          <w:vertAlign w:val="subscript"/>
          <w:rtl w:val="0"/>
        </w:rPr>
        <w:t xml:space="preserve">1</w:t>
      </w:r>
      <w:r w:rsidDel="00000000" w:rsidR="00000000" w:rsidRPr="00000000">
        <w:rPr>
          <w:rtl w:val="0"/>
        </w:rPr>
        <w:t xml:space="preserve"> is a known flux, </w:t>
      </w:r>
      <w:r w:rsidDel="00000000" w:rsidR="00000000" w:rsidRPr="00000000">
        <w:rPr>
          <w:i w:val="1"/>
          <w:iCs w:val="1"/>
          <w:rtl w:val="0"/>
        </w:rPr>
        <w:t xml:space="preserve">ΔC</w:t>
      </w:r>
      <w:r w:rsidDel="00000000" w:rsidR="00000000" w:rsidRPr="00000000">
        <w:rPr>
          <w:i w:val="1"/>
          <w:iCs w:val="1"/>
          <w:vertAlign w:val="subscript"/>
          <w:rtl w:val="0"/>
        </w:rPr>
        <w:t xml:space="preserve">2</w:t>
      </w:r>
      <w:r w:rsidDel="00000000" w:rsidR="00000000" w:rsidRPr="00000000">
        <w:rPr>
          <w:rtl w:val="0"/>
        </w:rPr>
        <w:t xml:space="preserve"> is the target gas dry air mixing ratio gradient difference, and </w:t>
      </w:r>
      <w:r w:rsidDel="00000000" w:rsidR="00000000" w:rsidRPr="00000000">
        <w:rPr>
          <w:i w:val="1"/>
          <w:iCs w:val="1"/>
          <w:rtl w:val="0"/>
        </w:rPr>
        <w:t xml:space="preserve">ΔC</w:t>
      </w:r>
      <w:r w:rsidDel="00000000" w:rsidR="00000000" w:rsidRPr="00000000">
        <w:rPr>
          <w:i w:val="1"/>
          <w:iCs w:val="1"/>
          <w:vertAlign w:val="subscript"/>
          <w:rtl w:val="0"/>
        </w:rPr>
        <w:t xml:space="preserve">1</w:t>
      </w:r>
      <w:r w:rsidDel="00000000" w:rsidR="00000000" w:rsidRPr="00000000">
        <w:rPr>
          <w:rtl w:val="0"/>
        </w:rPr>
        <w:t xml:space="preserve"> is the known gas dry air mixing ratio gradient difference measured across the same height profile. The assumption underlying this approach is that the eddy diffusivity is identical for both the tracer (F</w:t>
      </w:r>
      <w:r w:rsidDel="00000000" w:rsidR="00000000" w:rsidRPr="00000000">
        <w:rPr>
          <w:vertAlign w:val="subscript"/>
          <w:rtl w:val="0"/>
        </w:rPr>
        <w:t xml:space="preserve">1</w:t>
      </w:r>
      <w:r w:rsidDel="00000000" w:rsidR="00000000" w:rsidRPr="00000000">
        <w:rPr>
          <w:rtl w:val="0"/>
        </w:rPr>
        <w:t xml:space="preserve">) and the target gas (F</w:t>
      </w:r>
      <w:r w:rsidDel="00000000" w:rsidR="00000000" w:rsidRPr="00000000">
        <w:rPr>
          <w:vertAlign w:val="subscript"/>
          <w:rtl w:val="0"/>
        </w:rPr>
        <w:t xml:space="preserve">2</w:t>
      </w:r>
      <w:r w:rsidDel="00000000" w:rsidR="00000000" w:rsidRPr="00000000">
        <w:rPr>
          <w:rtl w:val="0"/>
        </w:rPr>
        <w:t xml:space="preserve">).  If</w:t>
      </w:r>
      <w:r w:rsidDel="00000000" w:rsidR="00000000" w:rsidRPr="00000000">
        <w:rPr>
          <w:i w:val="1"/>
          <w:iCs w:val="1"/>
          <w:rtl w:val="0"/>
        </w:rPr>
        <w:t xml:space="preserve"> F</w:t>
      </w:r>
      <w:r w:rsidDel="00000000" w:rsidR="00000000" w:rsidRPr="00000000">
        <w:rPr>
          <w:i w:val="1"/>
          <w:iCs w:val="1"/>
          <w:vertAlign w:val="subscript"/>
          <w:rtl w:val="0"/>
        </w:rPr>
        <w:t xml:space="preserve">1</w:t>
      </w:r>
      <w:r w:rsidDel="00000000" w:rsidR="00000000" w:rsidRPr="00000000">
        <w:rPr>
          <w:rtl w:val="0"/>
        </w:rPr>
        <w:t xml:space="preserve"> is known from EC measurements, </w:t>
      </w:r>
      <w:r w:rsidDel="00000000" w:rsidR="00000000" w:rsidRPr="00000000">
        <w:rPr>
          <w:i w:val="1"/>
          <w:iCs w:val="1"/>
          <w:rtl w:val="0"/>
        </w:rPr>
        <w:t xml:space="preserve">F</w:t>
      </w:r>
      <w:r w:rsidDel="00000000" w:rsidR="00000000" w:rsidRPr="00000000">
        <w:rPr>
          <w:i w:val="1"/>
          <w:iCs w:val="1"/>
          <w:vertAlign w:val="subscript"/>
          <w:rtl w:val="0"/>
        </w:rPr>
        <w:t xml:space="preserve">2</w:t>
      </w:r>
      <w:r w:rsidDel="00000000" w:rsidR="00000000" w:rsidRPr="00000000">
        <w:rPr>
          <w:rtl w:val="0"/>
        </w:rPr>
        <w:t xml:space="preserve"> can be determined </w:t>
      </w:r>
      <w:hyperlink r:id="rId62">
        <w:r w:rsidDel="00000000" w:rsidR="00000000" w:rsidRPr="00000000">
          <w:rPr>
            <w:b w:val="0"/>
            <w:bCs w:val="0"/>
            <w:color w:val="000000"/>
            <w:u w:val="none"/>
            <w:rtl w:val="0"/>
          </w:rPr>
          <w:t xml:space="preserve">(Moncrieff et al., 1997)</w:t>
        </w:r>
      </w:hyperlink>
      <w:r w:rsidDel="00000000" w:rsidR="00000000" w:rsidRPr="00000000">
        <w:rPr>
          <w:rtl w:val="0"/>
        </w:rPr>
        <w:t xml:space="preserve">. Using the MBR method removes the need to invoke Monin-Obukhov similarity for different stabilities, keeping the physics simple. Previous studies have used these methods to calculate ecosystem-scale fluxes for trace gases (e.g., methane </w:t>
      </w:r>
      <w:hyperlink r:id="rId63">
        <w:r w:rsidDel="00000000" w:rsidR="00000000" w:rsidRPr="00000000">
          <w:rPr>
            <w:b w:val="0"/>
            <w:bCs w:val="0"/>
            <w:color w:val="000000"/>
            <w:u w:val="none"/>
            <w:rtl w:val="0"/>
          </w:rPr>
          <w:t xml:space="preserve">(Werner et al., 2003; Zhao et al., 2019)</w:t>
        </w:r>
      </w:hyperlink>
      <w:r w:rsidDel="00000000" w:rsidR="00000000" w:rsidRPr="00000000">
        <w:rPr>
          <w:rtl w:val="0"/>
        </w:rPr>
        <w:t xml:space="preserve">, hydrogen </w:t>
      </w:r>
      <w:hyperlink r:id="rId64">
        <w:r w:rsidDel="00000000" w:rsidR="00000000" w:rsidRPr="00000000">
          <w:rPr>
            <w:b w:val="0"/>
            <w:bCs w:val="0"/>
            <w:color w:val="000000"/>
            <w:u w:val="none"/>
            <w:rtl w:val="0"/>
          </w:rPr>
          <w:t xml:space="preserve">(Meredith et al., 2014)</w:t>
        </w:r>
      </w:hyperlink>
      <w:r w:rsidDel="00000000" w:rsidR="00000000" w:rsidRPr="00000000">
        <w:rPr>
          <w:rtl w:val="0"/>
        </w:rPr>
        <w:t xml:space="preserve">, carbonyl sulfide </w:t>
      </w:r>
      <w:hyperlink r:id="rId65">
        <w:r w:rsidDel="00000000" w:rsidR="00000000" w:rsidRPr="00000000">
          <w:rPr>
            <w:b w:val="0"/>
            <w:bCs w:val="0"/>
            <w:color w:val="000000"/>
            <w:u w:val="none"/>
            <w:rtl w:val="0"/>
          </w:rPr>
          <w:t xml:space="preserve">(Commane et al., 2015)</w:t>
        </w:r>
      </w:hyperlink>
      <w:r w:rsidDel="00000000" w:rsidR="00000000" w:rsidRPr="00000000">
        <w:rPr>
          <w:rtl w:val="0"/>
        </w:rPr>
        <w:t xml:space="preserve">, and mercury </w:t>
      </w:r>
      <w:hyperlink r:id="rId66">
        <w:r w:rsidDel="00000000" w:rsidR="00000000" w:rsidRPr="00000000">
          <w:rPr>
            <w:b w:val="0"/>
            <w:bCs w:val="0"/>
            <w:color w:val="000000"/>
            <w:u w:val="none"/>
            <w:rtl w:val="0"/>
          </w:rPr>
          <w:t xml:space="preserve">(Obrist et al., 2021)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pStyle w:val="Heading3"/>
        <w:spacing w:line="240" w:lineRule="auto"/>
        <w:rPr>
          <w:rFonts w:ascii="Times" w:cs="Times" w:eastAsia="Times" w:hAnsi="Times"/>
          <w:i w:val="1"/>
          <w:iCs w:val="1"/>
        </w:rPr>
      </w:pPr>
      <w:bookmarkStart w:colFirst="0" w:colLast="0" w:name="_8s5nwuhr1me0" w:id="10"/>
      <w:bookmarkEnd w:id="10"/>
      <w:r w:rsidDel="00000000" w:rsidR="00000000" w:rsidRPr="00000000">
        <w:rPr>
          <w:rtl w:val="0"/>
        </w:rPr>
        <w:t xml:space="preserve">2.4.2. The Aerodynamic Method</w:t>
      </w:r>
      <w:r w:rsidDel="00000000" w:rsidR="00000000" w:rsidRPr="00000000">
        <w:rPr>
          <w:rtl w:val="0"/>
        </w:rPr>
      </w:r>
    </w:p>
    <w:p w:rsidR="00000000" w:rsidDel="00000000" w:rsidP="00000000" w:rsidRDefault="00000000" w:rsidRPr="00000000" w14:paraId="00000069">
      <w:pPr>
        <w:spacing w:after="0" w:before="0" w:line="240" w:lineRule="auto"/>
        <w:rPr>
          <w:rFonts w:ascii="Times" w:cs="Times" w:eastAsia="Times" w:hAnsi="Times"/>
        </w:rPr>
      </w:pPr>
      <w:r w:rsidDel="00000000" w:rsidR="00000000" w:rsidRPr="00000000">
        <w:rPr>
          <w:rFonts w:ascii="Times" w:cs="Times" w:eastAsia="Times" w:hAnsi="Times"/>
          <w:rtl w:val="0"/>
        </w:rPr>
        <w:t xml:space="preserve">In the aerodynamic model, </w:t>
      </w:r>
      <w:r w:rsidDel="00000000" w:rsidR="00000000" w:rsidRPr="00000000">
        <w:rPr>
          <w:i w:val="1"/>
          <w:iCs w:val="1"/>
          <w:rtl w:val="0"/>
        </w:rPr>
        <w:t xml:space="preserve">K</w:t>
      </w:r>
      <w:r w:rsidDel="00000000" w:rsidR="00000000" w:rsidRPr="00000000">
        <w:rPr>
          <w:rFonts w:ascii="Times" w:cs="Times" w:eastAsia="Times" w:hAnsi="Times"/>
          <w:rtl w:val="0"/>
        </w:rPr>
        <w:t xml:space="preserve"> is given a</w:t>
      </w:r>
      <w:r w:rsidDel="00000000" w:rsidR="00000000" w:rsidRPr="00000000">
        <w:rPr>
          <w:rFonts w:ascii="Times" w:cs="Times" w:eastAsia="Times" w:hAnsi="Times"/>
          <w:rtl w:val="0"/>
        </w:rPr>
        <w:t xml:space="preserve">s</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6A">
      <w:pPr>
        <w:spacing w:after="0" w:before="0" w:line="240" w:lineRule="auto"/>
        <w:ind w:left="0" w:firstLine="720"/>
        <w:rPr>
          <w:rFonts w:ascii="Times" w:cs="Times" w:eastAsia="Times" w:hAnsi="Times"/>
        </w:rPr>
      </w:pPr>
      <m:oMath>
        <m:r>
          <w:rPr/>
          <m:t xml:space="preserve">K= </m:t>
        </m:r>
        <m:f>
          <m:fPr>
            <m:ctrlPr>
              <w:rPr/>
            </m:ctrlPr>
          </m:fPr>
          <m:num>
            <m:r>
              <w:rPr/>
              <m:t xml:space="preserve">k u</m:t>
            </m:r>
            <m:sSup>
              <m:sSupPr>
                <m:ctrlPr>
                  <w:rPr>
                    <w:vertAlign w:val="superscript"/>
                  </w:rPr>
                </m:ctrlPr>
              </m:sSupPr>
              <m:e>
                <m:r>
                  <w:rPr>
                    <w:vertAlign w:val="superscript"/>
                  </w:rPr>
                  <m:t xml:space="preserve">*</m:t>
                </m:r>
              </m:e>
              <m:sup/>
            </m:sSup>
            <m:r>
              <w:rPr/>
              <m:t xml:space="preserve">(z-d)</m:t>
            </m:r>
          </m:num>
          <m:den>
            <m:sSub>
              <m:sSubPr>
                <m:ctrlPr>
                  <w:rPr/>
                </m:ctrlPr>
              </m:sSubPr>
              <m:e>
                <m:r>
                  <w:rPr/>
                  <m:t>ϕ</m:t>
                </m:r>
              </m:e>
              <m:sub>
                <m:r>
                  <w:rPr/>
                  <m:t xml:space="preserve">h</m:t>
                </m:r>
              </m:sub>
            </m:sSub>
            <m:r>
              <w:rPr/>
              <m:t xml:space="preserve">(</m:t>
            </m:r>
            <m:r>
              <w:rPr/>
              <m:t>ζ</m:t>
            </m:r>
            <m:r>
              <w:rPr/>
              <m:t xml:space="preserve">)</m:t>
            </m:r>
          </m:den>
        </m:f>
        <m:r>
          <w:rPr>
            <w:rFonts w:ascii="Times" w:cs="Times" w:eastAsia="Times" w:hAnsi="Times"/>
          </w:rPr>
          <m:t xml:space="preserve">  </m:t>
        </m:r>
      </m:oMath>
      <w:r w:rsidDel="00000000" w:rsidR="00000000" w:rsidRPr="00000000">
        <w:rPr>
          <w:rFonts w:ascii="Times" w:cs="Times" w:eastAsia="Times" w:hAnsi="Times"/>
          <w:rtl w:val="0"/>
        </w:rPr>
        <w:t xml:space="preserve"> </w:t>
        <w:tab/>
        <w:tab/>
        <w:tab/>
        <w:tab/>
        <w:tab/>
        <w:tab/>
        <w:tab/>
        <w:tab/>
        <w:tab/>
      </w:r>
      <w:r w:rsidDel="00000000" w:rsidR="00000000" w:rsidRPr="00000000">
        <w:rPr>
          <w:rFonts w:ascii="Times" w:cs="Times" w:eastAsia="Times" w:hAnsi="Times"/>
          <w:rtl w:val="0"/>
        </w:rPr>
        <w:t xml:space="preserve">Eq. 4</w:t>
      </w:r>
      <w:r w:rsidDel="00000000" w:rsidR="00000000" w:rsidRPr="00000000">
        <w:rPr>
          <w:rtl w:val="0"/>
        </w:rPr>
      </w:r>
    </w:p>
    <w:p w:rsidR="00000000" w:rsidDel="00000000" w:rsidP="00000000" w:rsidRDefault="00000000" w:rsidRPr="00000000" w14:paraId="0000006B">
      <w:pPr>
        <w:spacing w:lin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6C">
      <w:pPr>
        <w:spacing w:line="240" w:lineRule="auto"/>
        <w:ind w:left="0" w:firstLine="0"/>
        <w:rPr>
          <w:rFonts w:ascii="Times" w:cs="Times" w:eastAsia="Times" w:hAnsi="Times"/>
        </w:rPr>
      </w:pPr>
      <w:r w:rsidDel="00000000" w:rsidR="00000000" w:rsidRPr="00000000">
        <w:rPr>
          <w:rtl w:val="0"/>
        </w:rPr>
        <w:t xml:space="preserve">w</w:t>
      </w:r>
      <w:r w:rsidDel="00000000" w:rsidR="00000000" w:rsidRPr="00000000">
        <w:rPr>
          <w:rFonts w:ascii="Times" w:cs="Times" w:eastAsia="Times" w:hAnsi="Times"/>
          <w:rtl w:val="0"/>
        </w:rPr>
        <w:t xml:space="preserve">here </w:t>
      </w:r>
      <w:r w:rsidDel="00000000" w:rsidR="00000000" w:rsidRPr="00000000">
        <w:rPr>
          <w:rFonts w:ascii="Times" w:cs="Times" w:eastAsia="Times" w:hAnsi="Times"/>
          <w:i w:val="1"/>
          <w:iCs w:val="1"/>
          <w:rtl w:val="0"/>
        </w:rPr>
        <w:t xml:space="preserve">K </w:t>
      </w:r>
      <w:r w:rsidDel="00000000" w:rsidR="00000000" w:rsidRPr="00000000">
        <w:rPr>
          <w:rtl w:val="0"/>
        </w:rPr>
        <w:t xml:space="preserve">i</w:t>
      </w:r>
      <w:r w:rsidDel="00000000" w:rsidR="00000000" w:rsidRPr="00000000">
        <w:rPr>
          <w:rFonts w:ascii="Times" w:cs="Times" w:eastAsia="Times" w:hAnsi="Times"/>
          <w:rtl w:val="0"/>
        </w:rPr>
        <w:t xml:space="preserve">s</w:t>
      </w:r>
      <w:r w:rsidDel="00000000" w:rsidR="00000000" w:rsidRPr="00000000">
        <w:rPr>
          <w:rFonts w:ascii="Times" w:cs="Times" w:eastAsia="Times" w:hAnsi="Times"/>
          <w:rtl w:val="0"/>
        </w:rPr>
        <w:t xml:space="preserve"> assumed to be the same for all variables (</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 and</w:t>
      </w:r>
      <w:r w:rsidDel="00000000" w:rsidR="00000000" w:rsidRPr="00000000">
        <w:rPr>
          <w:rFonts w:ascii="Times" w:cs="Times" w:eastAsia="Times" w:hAnsi="Times"/>
          <w:rtl w:val="0"/>
        </w:rPr>
        <w:t xml:space="preserve"> </w:t>
      </w: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Fonts w:ascii="Times" w:cs="Times" w:eastAsia="Times" w:hAnsi="Times"/>
          <w:rtl w:val="0"/>
        </w:rPr>
        <w:t xml:space="preserve">), the von Karman constant (</w:t>
      </w:r>
      <w:r w:rsidDel="00000000" w:rsidR="00000000" w:rsidRPr="00000000">
        <w:rPr>
          <w:rFonts w:ascii="Times" w:cs="Times" w:eastAsia="Times" w:hAnsi="Times"/>
          <w:i w:val="1"/>
          <w:iCs w:val="1"/>
          <w:rtl w:val="0"/>
        </w:rPr>
        <w:t xml:space="preserve">k</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is 0.4 </w:t>
      </w:r>
      <w:hyperlink r:id="rId67">
        <w:r w:rsidDel="00000000" w:rsidR="00000000" w:rsidRPr="00000000">
          <w:rPr>
            <w:rFonts w:ascii="Times" w:cs="Times" w:eastAsia="Times" w:hAnsi="Times"/>
            <w:b w:val="0"/>
            <w:bCs w:val="0"/>
            <w:color w:val="000000"/>
            <w:u w:val="none"/>
            <w:rtl w:val="0"/>
          </w:rPr>
          <w:t xml:space="preserve">(Stull, 2012)</w:t>
        </w:r>
      </w:hyperlink>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u*</w:t>
      </w:r>
      <w:r w:rsidDel="00000000" w:rsidR="00000000" w:rsidRPr="00000000">
        <w:rPr>
          <w:rFonts w:ascii="Times" w:cs="Times" w:eastAsia="Times" w:hAnsi="Times"/>
          <w:rtl w:val="0"/>
        </w:rPr>
        <w:t xml:space="preserve"> is </w:t>
      </w:r>
      <w:r w:rsidDel="00000000" w:rsidR="00000000" w:rsidRPr="00000000">
        <w:rPr>
          <w:rFonts w:ascii="Times" w:cs="Times" w:eastAsia="Times" w:hAnsi="Times"/>
          <w:rtl w:val="0"/>
        </w:rPr>
        <w:t xml:space="preserve">friction velocity </w:t>
      </w:r>
      <w:r w:rsidDel="00000000" w:rsidR="00000000" w:rsidRPr="00000000">
        <w:rPr>
          <w:rFonts w:ascii="Times" w:cs="Times" w:eastAsia="Times" w:hAnsi="Times"/>
          <w:rtl w:val="0"/>
        </w:rPr>
        <w:t xml:space="preserve">and is measured by the fast response turbulent flux data, </w:t>
      </w:r>
      <w:r w:rsidDel="00000000" w:rsidR="00000000" w:rsidRPr="00000000">
        <w:rPr>
          <w:rFonts w:ascii="Times" w:cs="Times" w:eastAsia="Times" w:hAnsi="Times"/>
          <w:i w:val="1"/>
          <w:iCs w:val="1"/>
          <w:rtl w:val="0"/>
        </w:rPr>
        <w:t xml:space="preserve">z</w:t>
      </w:r>
      <w:r w:rsidDel="00000000" w:rsidR="00000000" w:rsidRPr="00000000">
        <w:rPr>
          <w:rFonts w:ascii="Times" w:cs="Times" w:eastAsia="Times" w:hAnsi="Times"/>
          <w:rtl w:val="0"/>
        </w:rPr>
        <w:t xml:space="preserve"> is the mean of measurement height, </w:t>
      </w:r>
      <w:r w:rsidDel="00000000" w:rsidR="00000000" w:rsidRPr="00000000">
        <w:rPr>
          <w:rFonts w:ascii="Times" w:cs="Times" w:eastAsia="Times" w:hAnsi="Times"/>
          <w:i w:val="1"/>
          <w:iCs w:val="1"/>
          <w:rtl w:val="0"/>
        </w:rPr>
        <w:t xml:space="preserve">d</w:t>
      </w:r>
      <w:r w:rsidDel="00000000" w:rsidR="00000000" w:rsidRPr="00000000">
        <w:rPr>
          <w:rFonts w:ascii="Times" w:cs="Times" w:eastAsia="Times" w:hAnsi="Times"/>
          <w:rtl w:val="0"/>
        </w:rPr>
        <w:t xml:space="preserve"> is the displacement height, </w:t>
      </w:r>
      <w:r w:rsidDel="00000000" w:rsidR="00000000" w:rsidRPr="00000000">
        <w:rPr>
          <w:rtl w:val="0"/>
        </w:rPr>
        <w:t xml:space="preserve">ф</w:t>
      </w:r>
      <w:r w:rsidDel="00000000" w:rsidR="00000000" w:rsidRPr="00000000">
        <w:rPr>
          <w:rFonts w:ascii="Times" w:cs="Times" w:eastAsia="Times" w:hAnsi="Times"/>
          <w:vertAlign w:val="subscript"/>
          <w:rtl w:val="0"/>
        </w:rPr>
        <w:t xml:space="preserve">h</w:t>
      </w:r>
      <w:r w:rsidDel="00000000" w:rsidR="00000000" w:rsidRPr="00000000">
        <w:rPr>
          <w:rFonts w:ascii="Times" w:cs="Times" w:eastAsia="Times" w:hAnsi="Times"/>
          <w:rtl w:val="0"/>
        </w:rPr>
        <w:t xml:space="preserve"> (ζ )</w:t>
      </w:r>
      <w:r w:rsidDel="00000000" w:rsidR="00000000" w:rsidRPr="00000000">
        <w:rPr>
          <w:rtl w:val="0"/>
        </w:rPr>
        <w:t xml:space="preserve"> is the stability correction function, and</w:t>
      </w:r>
      <m:oMath>
        <m:r>
          <w:rPr>
            <w:rFonts w:ascii="Times" w:cs="Times" w:eastAsia="Times" w:hAnsi="Times"/>
          </w:rPr>
          <m:t xml:space="preserve"> ζ</m:t>
        </m:r>
      </m:oMath>
      <w:r w:rsidDel="00000000" w:rsidR="00000000" w:rsidRPr="00000000">
        <w:rPr>
          <w:rFonts w:ascii="Times" w:cs="Times" w:eastAsia="Times" w:hAnsi="Times"/>
          <w:rtl w:val="0"/>
        </w:rPr>
        <w:t xml:space="preserve"> is the Obukhov stability parameter calculated </w:t>
      </w:r>
      <w:r w:rsidDel="00000000" w:rsidR="00000000" w:rsidRPr="00000000">
        <w:rPr>
          <w:rtl w:val="0"/>
        </w:rPr>
        <w:t xml:space="preserve">as the ratio of effective height</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z-d</w:t>
      </w:r>
      <w:r w:rsidDel="00000000" w:rsidR="00000000" w:rsidRPr="00000000">
        <w:rPr>
          <w:rFonts w:ascii="Times" w:cs="Times" w:eastAsia="Times" w:hAnsi="Times"/>
          <w:rtl w:val="0"/>
        </w:rPr>
        <w:t xml:space="preserve">) and Obukhov length (</w:t>
      </w:r>
      <w:r w:rsidDel="00000000" w:rsidR="00000000" w:rsidRPr="00000000">
        <w:rPr>
          <w:rFonts w:ascii="Times" w:cs="Times" w:eastAsia="Times" w:hAnsi="Times"/>
          <w:i w:val="1"/>
          <w:iCs w:val="1"/>
          <w:rtl w:val="0"/>
        </w:rPr>
        <w:t xml:space="preserve">L</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z</w:t>
      </w:r>
      <w:r w:rsidDel="00000000" w:rsidR="00000000" w:rsidRPr="00000000">
        <w:rPr>
          <w:rFonts w:ascii="Times" w:cs="Times" w:eastAsia="Times" w:hAnsi="Times"/>
          <w:rtl w:val="0"/>
        </w:rPr>
        <w:t xml:space="preserve"> was </w:t>
      </w:r>
      <w:r w:rsidDel="00000000" w:rsidR="00000000" w:rsidRPr="00000000">
        <w:rPr>
          <w:rtl w:val="0"/>
        </w:rPr>
        <w:t xml:space="preserve">calculated as the geometric mean between the two levels. C</w:t>
      </w:r>
      <w:r w:rsidDel="00000000" w:rsidR="00000000" w:rsidRPr="00000000">
        <w:rPr>
          <w:rFonts w:ascii="Times" w:cs="Times" w:eastAsia="Times" w:hAnsi="Times"/>
          <w:rtl w:val="0"/>
        </w:rPr>
        <w:t xml:space="preserve">anopy height (</w:t>
      </w:r>
      <w:r w:rsidDel="00000000" w:rsidR="00000000" w:rsidRPr="00000000">
        <w:rPr>
          <w:rFonts w:ascii="Times" w:cs="Times" w:eastAsia="Times" w:hAnsi="Times"/>
          <w:i w:val="1"/>
          <w:iCs w:val="1"/>
          <w:rtl w:val="0"/>
        </w:rPr>
        <w:t xml:space="preserve">h</w:t>
      </w:r>
      <w:r w:rsidDel="00000000" w:rsidR="00000000" w:rsidRPr="00000000">
        <w:rPr>
          <w:rFonts w:ascii="Times" w:cs="Times" w:eastAsia="Times" w:hAnsi="Times"/>
          <w:rtl w:val="0"/>
        </w:rPr>
        <w:t xml:space="preserve">) was calculated aerodynamically from the turbulence statistics (Pennypacker and Baldocchi, 2026)</w:t>
      </w:r>
      <w:r w:rsidDel="00000000" w:rsidR="00000000" w:rsidRPr="00000000">
        <w:rPr>
          <w:rtl w:val="0"/>
        </w:rPr>
        <w:t xml:space="preserve">,</w:t>
      </w:r>
      <w:r w:rsidDel="00000000" w:rsidR="00000000" w:rsidRPr="00000000">
        <w:rPr>
          <w:rFonts w:ascii="Times" w:cs="Times" w:eastAsia="Times" w:hAnsi="Times"/>
          <w:rtl w:val="0"/>
        </w:rPr>
        <w:t xml:space="preserve"> and displacement height was estimated </w:t>
      </w:r>
      <w:r w:rsidDel="00000000" w:rsidR="00000000" w:rsidRPr="00000000">
        <w:rPr>
          <w:rtl w:val="0"/>
        </w:rPr>
        <w:t xml:space="preserve">as</w:t>
      </w:r>
      <w:r w:rsidDel="00000000" w:rsidR="00000000" w:rsidRPr="00000000">
        <w:rPr>
          <w:rFonts w:ascii="Times" w:cs="Times" w:eastAsia="Times" w:hAnsi="Times"/>
          <w:rtl w:val="0"/>
        </w:rPr>
        <w:t xml:space="preserve"> 0.66</w:t>
      </w:r>
      <w:r w:rsidDel="00000000" w:rsidR="00000000" w:rsidRPr="00000000">
        <w:rPr>
          <w:rFonts w:ascii="Times" w:cs="Times" w:eastAsia="Times" w:hAnsi="Times"/>
          <w:i w:val="1"/>
          <w:iCs w:val="1"/>
          <w:rtl w:val="0"/>
        </w:rPr>
        <w:t xml:space="preserve">h</w:t>
      </w:r>
      <w:r w:rsidDel="00000000" w:rsidR="00000000" w:rsidRPr="00000000">
        <w:rPr>
          <w:rFonts w:ascii="Times" w:cs="Times" w:eastAsia="Times" w:hAnsi="Times"/>
          <w:rtl w:val="0"/>
        </w:rPr>
        <w:t xml:space="preserve">. The Obukhov length is given as:</w:t>
      </w:r>
    </w:p>
    <w:p w:rsidR="00000000" w:rsidDel="00000000" w:rsidP="00000000" w:rsidRDefault="00000000" w:rsidRPr="00000000" w14:paraId="0000006D">
      <w:pPr>
        <w:spacing w:after="240" w:before="240" w:line="240" w:lineRule="auto"/>
        <w:ind w:left="0" w:firstLine="720"/>
        <w:rPr>
          <w:rFonts w:ascii="Times" w:cs="Times" w:eastAsia="Times" w:hAnsi="Times"/>
        </w:rPr>
      </w:pPr>
      <m:oMath>
        <m:r>
          <w:rPr>
            <w:rFonts w:ascii="Times" w:cs="Times" w:eastAsia="Times" w:hAnsi="Times"/>
          </w:rPr>
          <m:t xml:space="preserve">L = </m:t>
        </m:r>
        <m:f>
          <m:fPr>
            <m:ctrlPr>
              <w:rPr>
                <w:rFonts w:ascii="Roboto" w:cs="Roboto" w:eastAsia="Roboto" w:hAnsi="Roboto"/>
                <w:color w:val="212529"/>
                <w:highlight w:val="white"/>
              </w:rPr>
            </m:ctrlPr>
          </m:fPr>
          <m:num>
            <m:r>
              <w:rPr>
                <w:rFonts w:ascii="Times" w:cs="Times" w:eastAsia="Times" w:hAnsi="Times"/>
              </w:rPr>
              <m:t xml:space="preserve">-u</m:t>
            </m:r>
            <m:sSup>
              <m:sSupPr>
                <m:ctrlPr>
                  <w:rPr>
                    <w:rFonts w:ascii="Times" w:cs="Times" w:eastAsia="Times" w:hAnsi="Times"/>
                    <w:vertAlign w:val="superscript"/>
                  </w:rPr>
                </m:ctrlPr>
              </m:sSupPr>
              <m:e>
                <m:r>
                  <w:rPr>
                    <w:rFonts w:ascii="Times" w:cs="Times" w:eastAsia="Times" w:hAnsi="Times"/>
                    <w:vertAlign w:val="superscript"/>
                  </w:rPr>
                  <m:t xml:space="preserve">*</m:t>
                </m:r>
              </m:e>
              <m:sup>
                <m:r>
                  <w:rPr>
                    <w:rFonts w:ascii="Times" w:cs="Times" w:eastAsia="Times" w:hAnsi="Times"/>
                    <w:vertAlign w:val="superscript"/>
                  </w:rPr>
                  <m:t xml:space="preserve">3</m:t>
                </m:r>
              </m:sup>
            </m:sSup>
            <m:r>
              <w:rPr>
                <w:rFonts w:ascii="Times" w:cs="Times" w:eastAsia="Times" w:hAnsi="Times"/>
              </w:rPr>
              <m:t xml:space="preserve">T</m:t>
            </m:r>
          </m:num>
          <m:den>
            <m:r>
              <w:rPr>
                <w:rFonts w:ascii="Times" w:cs="Times" w:eastAsia="Times" w:hAnsi="Times"/>
              </w:rPr>
              <m:t xml:space="preserve">kg(</m:t>
            </m:r>
            <m:bar>
              <m:barPr>
                <m:pos/>
                <m:ctrlPr>
                  <w:rPr>
                    <w:rFonts w:ascii="Times" w:cs="Times" w:eastAsia="Times" w:hAnsi="Times"/>
                  </w:rPr>
                </m:ctrlPr>
              </m:barPr>
              <m:e>
                <m:r>
                  <w:rPr>
                    <w:rFonts w:ascii="Times" w:cs="Times" w:eastAsia="Times" w:hAnsi="Times"/>
                  </w:rPr>
                  <m:t xml:space="preserve">w'</m:t>
                </m:r>
                <m:sSub>
                  <m:sSubPr>
                    <m:ctrlPr>
                      <w:rPr>
                        <w:rFonts w:ascii="Roboto" w:cs="Roboto" w:eastAsia="Roboto" w:hAnsi="Roboto"/>
                        <w:color w:val="212529"/>
                        <w:highlight w:val="white"/>
                      </w:rPr>
                    </m:ctrlPr>
                  </m:sSubPr>
                  <m:e>
                    <m:r>
                      <w:rPr>
                        <w:rFonts w:ascii="Roboto" w:cs="Roboto" w:eastAsia="Roboto" w:hAnsi="Roboto"/>
                        <w:color w:val="212529"/>
                        <w:highlight w:val="white"/>
                      </w:rPr>
                      <m:t xml:space="preserve">θ'</m:t>
                    </m:r>
                  </m:e>
                  <m:sub>
                    <m:r>
                      <w:rPr>
                        <w:rFonts w:ascii="Roboto" w:cs="Roboto" w:eastAsia="Roboto" w:hAnsi="Roboto"/>
                        <w:color w:val="212529"/>
                        <w:highlight w:val="white"/>
                      </w:rPr>
                      <m:t xml:space="preserve">v</m:t>
                    </m:r>
                  </m:sub>
                </m:sSub>
              </m:e>
            </m:bar>
            <m:r>
              <w:rPr>
                <w:rFonts w:ascii="Roboto" w:cs="Roboto" w:eastAsia="Roboto" w:hAnsi="Roboto"/>
                <w:color w:val="212529"/>
                <w:highlight w:val="white"/>
              </w:rPr>
              <m:t xml:space="preserve">)</m:t>
            </m:r>
          </m:den>
        </m:f>
      </m:oMath>
      <w:r w:rsidDel="00000000" w:rsidR="00000000" w:rsidRPr="00000000">
        <w:rPr>
          <w:rFonts w:ascii="Times" w:cs="Times" w:eastAsia="Times" w:hAnsi="Times"/>
          <w:rtl w:val="0"/>
        </w:rPr>
        <w:tab/>
        <w:tab/>
        <w:tab/>
        <w:tab/>
        <w:tab/>
      </w:r>
      <w:r w:rsidDel="00000000" w:rsidR="00000000" w:rsidRPr="00000000">
        <w:rPr>
          <w:rFonts w:ascii="Times" w:cs="Times" w:eastAsia="Times" w:hAnsi="Times"/>
          <w:rtl w:val="0"/>
        </w:rPr>
        <w:tab/>
        <w:tab/>
        <w:tab/>
        <w:tab/>
        <w:tab/>
        <w:t xml:space="preserve">Eq. 5</w:t>
      </w:r>
    </w:p>
    <w:p w:rsidR="00000000" w:rsidDel="00000000" w:rsidP="00000000" w:rsidRDefault="00000000" w:rsidRPr="00000000" w14:paraId="0000006E">
      <w:pPr>
        <w:spacing w:after="240" w:before="240" w:line="240" w:lineRule="auto"/>
        <w:ind w:left="0" w:firstLine="0"/>
        <w:rPr/>
      </w:pPr>
      <w:r w:rsidDel="00000000" w:rsidR="00000000" w:rsidRPr="00000000">
        <w:rPr>
          <w:rtl w:val="0"/>
        </w:rPr>
        <w:t xml:space="preserve">w</w:t>
      </w:r>
      <w:r w:rsidDel="00000000" w:rsidR="00000000" w:rsidRPr="00000000">
        <w:rPr>
          <w:rFonts w:ascii="Times" w:cs="Times" w:eastAsia="Times" w:hAnsi="Times"/>
          <w:rtl w:val="0"/>
        </w:rPr>
        <w:t xml:space="preserve">here</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T</w:t>
      </w:r>
      <w:r w:rsidDel="00000000" w:rsidR="00000000" w:rsidRPr="00000000">
        <w:rPr>
          <w:rFonts w:ascii="Times" w:cs="Times" w:eastAsia="Times" w:hAnsi="Times"/>
          <w:rtl w:val="0"/>
        </w:rPr>
        <w:t xml:space="preserve"> is the surface air temperature measurement taken from the lowest tower height, </w:t>
      </w:r>
      <w:r w:rsidDel="00000000" w:rsidR="00000000" w:rsidRPr="00000000">
        <w:rPr>
          <w:rFonts w:ascii="Times" w:cs="Times" w:eastAsia="Times" w:hAnsi="Times"/>
          <w:i w:val="1"/>
          <w:iCs w:val="1"/>
          <w:rtl w:val="0"/>
        </w:rPr>
        <w:t xml:space="preserve">g</w:t>
      </w:r>
      <w:r w:rsidDel="00000000" w:rsidR="00000000" w:rsidRPr="00000000">
        <w:rPr>
          <w:rFonts w:ascii="Times" w:cs="Times" w:eastAsia="Times" w:hAnsi="Times"/>
          <w:rtl w:val="0"/>
        </w:rPr>
        <w:t xml:space="preserve"> is gravitational acceleration (9.8 </w:t>
      </w:r>
      <w:r w:rsidDel="00000000" w:rsidR="00000000" w:rsidRPr="00000000">
        <w:rPr>
          <w:rFonts w:ascii="Times" w:cs="Times" w:eastAsia="Times" w:hAnsi="Times"/>
          <w:rtl w:val="0"/>
        </w:rPr>
        <w:t xml:space="preserve">m</w:t>
      </w:r>
      <w:r w:rsidDel="00000000" w:rsidR="00000000" w:rsidRPr="00000000">
        <w:rPr>
          <w:vertAlign w:val="superscript"/>
          <w:rtl w:val="0"/>
        </w:rPr>
        <w:t xml:space="preserve"> </w:t>
      </w:r>
      <w:r w:rsidDel="00000000" w:rsidR="00000000" w:rsidRPr="00000000">
        <w:rPr>
          <w:rFonts w:ascii="Times" w:cs="Times" w:eastAsia="Times" w:hAnsi="Times"/>
          <w:rtl w:val="0"/>
        </w:rPr>
        <w:t xml:space="preserve">s</w:t>
      </w:r>
      <w:r w:rsidDel="00000000" w:rsidR="00000000" w:rsidRPr="00000000">
        <w:rPr>
          <w:rFonts w:ascii="Times" w:cs="Times" w:eastAsia="Times" w:hAnsi="Times"/>
          <w:vertAlign w:val="superscript"/>
          <w:rtl w:val="0"/>
        </w:rPr>
        <w:t xml:space="preserve">-2</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and θ</w:t>
      </w:r>
      <w:r w:rsidDel="00000000" w:rsidR="00000000" w:rsidRPr="00000000">
        <w:rPr>
          <w:rFonts w:ascii="Times" w:cs="Times" w:eastAsia="Times" w:hAnsi="Times"/>
          <w:vertAlign w:val="subscript"/>
          <w:rtl w:val="0"/>
        </w:rPr>
        <w:t xml:space="preserve">v</w:t>
      </w:r>
      <w:r w:rsidDel="00000000" w:rsidR="00000000" w:rsidRPr="00000000">
        <w:rPr>
          <w:rFonts w:ascii="Times" w:cs="Times" w:eastAsia="Times" w:hAnsi="Times"/>
          <w:rtl w:val="0"/>
        </w:rPr>
        <w:t xml:space="preserve"> is the virtual potential temperature. </w:t>
      </w:r>
      <w:r w:rsidDel="00000000" w:rsidR="00000000" w:rsidRPr="00000000">
        <w:rPr>
          <w:rtl w:val="0"/>
        </w:rPr>
      </w:r>
    </w:p>
    <w:p w:rsidR="00000000" w:rsidDel="00000000" w:rsidP="00000000" w:rsidRDefault="00000000" w:rsidRPr="00000000" w14:paraId="0000006F">
      <w:pPr>
        <w:spacing w:after="240" w:before="240" w:line="240" w:lineRule="auto"/>
        <w:ind w:left="0" w:firstLine="0"/>
        <w:rPr>
          <w:rFonts w:ascii="Times" w:cs="Times" w:eastAsia="Times" w:hAnsi="Times"/>
          <w:i w:val="1"/>
          <w:iCs w:val="1"/>
        </w:rPr>
      </w:pPr>
      <w:r w:rsidDel="00000000" w:rsidR="00000000" w:rsidRPr="00000000">
        <w:rPr>
          <w:rFonts w:ascii="Times" w:cs="Times" w:eastAsia="Times" w:hAnsi="Times"/>
          <w:i w:val="1"/>
          <w:iCs w:val="1"/>
          <w:rtl w:val="0"/>
        </w:rPr>
        <w:t xml:space="preserve">2.4.</w:t>
      </w:r>
      <w:r w:rsidDel="00000000" w:rsidR="00000000" w:rsidRPr="00000000">
        <w:rPr>
          <w:i w:val="1"/>
          <w:iCs w:val="1"/>
          <w:rtl w:val="0"/>
        </w:rPr>
        <w:t xml:space="preserve">3</w:t>
      </w:r>
      <w:r w:rsidDel="00000000" w:rsidR="00000000" w:rsidRPr="00000000">
        <w:rPr>
          <w:rFonts w:ascii="Times" w:cs="Times" w:eastAsia="Times" w:hAnsi="Times"/>
          <w:i w:val="1"/>
          <w:iCs w:val="1"/>
          <w:rtl w:val="0"/>
        </w:rPr>
        <w:t xml:space="preserve">. </w:t>
      </w:r>
      <w:r w:rsidDel="00000000" w:rsidR="00000000" w:rsidRPr="00000000">
        <w:rPr>
          <w:rFonts w:ascii="Times" w:cs="Times" w:eastAsia="Times" w:hAnsi="Times"/>
          <w:i w:val="1"/>
          <w:iCs w:val="1"/>
          <w:rtl w:val="0"/>
        </w:rPr>
        <w:t xml:space="preserve">The Wind Profile Method</w:t>
      </w:r>
      <w:r w:rsidDel="00000000" w:rsidR="00000000" w:rsidRPr="00000000">
        <w:rPr>
          <w:rtl w:val="0"/>
        </w:rPr>
      </w:r>
    </w:p>
    <w:p w:rsidR="00000000" w:rsidDel="00000000" w:rsidP="00000000" w:rsidRDefault="00000000" w:rsidRPr="00000000" w14:paraId="00000070">
      <w:pPr>
        <w:spacing w:after="240" w:before="240" w:line="240" w:lineRule="auto"/>
        <w:ind w:left="720" w:firstLine="20"/>
        <w:rPr>
          <w:rFonts w:ascii="Times" w:cs="Times" w:eastAsia="Times" w:hAnsi="Times"/>
        </w:rPr>
      </w:pPr>
      <w:r w:rsidDel="00000000" w:rsidR="00000000" w:rsidRPr="00000000">
        <w:rPr>
          <w:rtl w:val="0"/>
        </w:rPr>
        <w:t xml:space="preserve">The eddy diffusivity for the wind profile method (</w:t>
      </w:r>
      <m:oMath>
        <m:sSub>
          <m:sSubPr>
            <m:ctrlPr>
              <w:rPr/>
            </m:ctrlPr>
          </m:sSubPr>
          <m:e>
            <m:r>
              <w:rPr/>
              <m:t xml:space="preserve">K</m:t>
            </m:r>
          </m:e>
          <m:sub>
            <m:r>
              <w:rPr/>
              <m:t xml:space="preserve">wp</m:t>
            </m:r>
          </m:sub>
        </m:sSub>
        <m:r>
          <w:rPr/>
          <m:t xml:space="preserve">)</m:t>
        </m:r>
      </m:oMath>
      <w:r w:rsidDel="00000000" w:rsidR="00000000" w:rsidRPr="00000000">
        <w:rPr>
          <w:rFonts w:ascii="Times" w:cs="Times" w:eastAsia="Times" w:hAnsi="Times"/>
          <w:rtl w:val="0"/>
        </w:rPr>
        <w:t xml:space="preserve"> was</w:t>
      </w:r>
      <w:r w:rsidDel="00000000" w:rsidR="00000000" w:rsidRPr="00000000">
        <w:rPr>
          <w:rtl w:val="0"/>
        </w:rPr>
        <w:t xml:space="preserve"> calculated at each tower level </w:t>
      </w:r>
      <w:r w:rsidDel="00000000" w:rsidR="00000000" w:rsidRPr="00000000">
        <w:rPr>
          <w:rFonts w:ascii="Times" w:cs="Times" w:eastAsia="Times" w:hAnsi="Times"/>
          <w:rtl w:val="0"/>
        </w:rPr>
        <w:t xml:space="preserve">as:</w:t>
      </w:r>
    </w:p>
    <w:p w:rsidR="00000000" w:rsidDel="00000000" w:rsidP="00000000" w:rsidRDefault="00000000" w:rsidRPr="00000000" w14:paraId="00000071">
      <w:pPr>
        <w:spacing w:after="240" w:before="240" w:line="240" w:lineRule="auto"/>
        <w:ind w:left="720" w:firstLine="20"/>
        <w:rPr>
          <w:rFonts w:ascii="Times" w:cs="Times" w:eastAsia="Times" w:hAnsi="Times"/>
        </w:rPr>
      </w:pPr>
      <m:oMath>
        <m:sSub>
          <m:sSubPr>
            <m:ctrlPr>
              <w:rPr/>
            </m:ctrlPr>
          </m:sSubPr>
          <m:e>
            <m:r>
              <w:rPr>
                <w:rFonts w:ascii="Times" w:cs="Times" w:eastAsia="Times" w:hAnsi="Times"/>
              </w:rPr>
              <m:t xml:space="preserve">K</m:t>
            </m:r>
          </m:e>
          <m:sub>
            <m:r>
              <w:rPr/>
              <m:t xml:space="preserve">wp</m:t>
            </m:r>
          </m:sub>
        </m:sSub>
        <m:r>
          <w:rPr>
            <w:rFonts w:ascii="Times" w:cs="Times" w:eastAsia="Times" w:hAnsi="Times"/>
          </w:rPr>
          <m:t xml:space="preserve"> =</m:t>
        </m:r>
        <m:f>
          <m:fPr>
            <m:ctrlPr>
              <w:rPr>
                <w:rFonts w:ascii="Times" w:cs="Times" w:eastAsia="Times" w:hAnsi="Times"/>
              </w:rPr>
            </m:ctrlPr>
          </m:fPr>
          <m:num>
            <m:sSup>
              <m:sSupPr>
                <m:ctrlPr>
                  <w:rPr>
                    <w:rFonts w:ascii="Times" w:cs="Times" w:eastAsia="Times" w:hAnsi="Times"/>
                  </w:rPr>
                </m:ctrlPr>
              </m:sSupPr>
              <m:e>
                <m:r>
                  <w:rPr>
                    <w:rFonts w:ascii="Times" w:cs="Times" w:eastAsia="Times" w:hAnsi="Times"/>
                  </w:rPr>
                  <m:t xml:space="preserve">k</m:t>
                </m:r>
              </m:e>
              <m:sup>
                <m:r>
                  <w:rPr>
                    <w:rFonts w:ascii="Times" w:cs="Times" w:eastAsia="Times" w:hAnsi="Times"/>
                  </w:rPr>
                  <m:t xml:space="preserve">2</m:t>
                </m:r>
              </m:sup>
            </m:sSup>
            <m:r>
              <w:rPr>
                <w:rFonts w:ascii="Times" w:cs="Times" w:eastAsia="Times" w:hAnsi="Times"/>
              </w:rPr>
              <m:t xml:space="preserve"> (z-d) </m:t>
            </m:r>
            <m:bar>
              <m:barPr>
                <m:pos/>
                <m:ctrlPr>
                  <w:rPr>
                    <w:rFonts w:ascii="Times" w:cs="Times" w:eastAsia="Times" w:hAnsi="Times"/>
                  </w:rPr>
                </m:ctrlPr>
              </m:barPr>
              <m:e>
                <m:r>
                  <w:rPr>
                    <w:rFonts w:ascii="Times" w:cs="Times" w:eastAsia="Times" w:hAnsi="Times"/>
                  </w:rPr>
                  <m:t xml:space="preserve">u</m:t>
                </m:r>
              </m:e>
            </m:bar>
          </m:num>
          <m:den>
            <m:sSub>
              <m:sSubPr>
                <m:ctrlPr>
                  <w:rPr/>
                </m:ctrlPr>
              </m:sSubPr>
              <m:e>
                <m:r>
                  <w:rPr>
                    <w:rFonts w:ascii="Times" w:cs="Times" w:eastAsia="Times" w:hAnsi="Times"/>
                  </w:rPr>
                  <m:t xml:space="preserve">𝜑</m:t>
                </m:r>
              </m:e>
              <m:sub>
                <m:r>
                  <w:rPr/>
                  <m:t xml:space="preserve">h</m:t>
                </m:r>
              </m:sub>
            </m:sSub>
            <m:r>
              <w:rPr>
                <w:rFonts w:ascii="Times" w:cs="Times" w:eastAsia="Times" w:hAnsi="Times"/>
                <w:vertAlign w:val="subscript"/>
              </w:rPr>
              <m:t xml:space="preserve"> </m:t>
            </m:r>
            <m:r>
              <w:rPr>
                <w:rFonts w:ascii="Times" w:cs="Times" w:eastAsia="Times" w:hAnsi="Times"/>
              </w:rPr>
              <m:t xml:space="preserve">ln </m:t>
            </m:r>
            <m:f>
              <m:fPr>
                <m:ctrlPr>
                  <w:rPr>
                    <w:rFonts w:ascii="Times" w:cs="Times" w:eastAsia="Times" w:hAnsi="Times"/>
                  </w:rPr>
                </m:ctrlPr>
              </m:fPr>
              <m:num>
                <m:r>
                  <w:rPr>
                    <w:rFonts w:ascii="Times" w:cs="Times" w:eastAsia="Times" w:hAnsi="Times"/>
                  </w:rPr>
                  <m:t xml:space="preserve">z-d</m:t>
                </m:r>
              </m:num>
              <m:den>
                <m:sSub>
                  <m:sSubPr>
                    <m:ctrlPr>
                      <w:rPr>
                        <w:rFonts w:ascii="Times" w:cs="Times" w:eastAsia="Times" w:hAnsi="Times"/>
                      </w:rPr>
                    </m:ctrlPr>
                  </m:sSubPr>
                  <m:e>
                    <m:r>
                      <w:rPr>
                        <w:rFonts w:ascii="Times" w:cs="Times" w:eastAsia="Times" w:hAnsi="Times"/>
                      </w:rPr>
                      <m:t xml:space="preserve">z</m:t>
                    </m:r>
                  </m:e>
                  <m:sub>
                    <m:r>
                      <w:rPr>
                        <w:rFonts w:ascii="Times" w:cs="Times" w:eastAsia="Times" w:hAnsi="Times"/>
                      </w:rPr>
                      <m:t xml:space="preserve">o</m:t>
                    </m:r>
                  </m:sub>
                </m:sSub>
              </m:den>
            </m:f>
          </m:den>
        </m:f>
        <m:r>
          <w:rPr>
            <w:rFonts w:ascii="Times" w:cs="Times" w:eastAsia="Times" w:hAnsi="Times"/>
          </w:rPr>
          <m:t xml:space="preserve"> </m:t>
        </m:r>
      </m:oMath>
      <w:r w:rsidDel="00000000" w:rsidR="00000000" w:rsidRPr="00000000">
        <w:rPr>
          <w:rFonts w:ascii="Times" w:cs="Times" w:eastAsia="Times" w:hAnsi="Times"/>
          <w:rtl w:val="0"/>
        </w:rPr>
        <w:t xml:space="preserve"> </w:t>
        <w:tab/>
        <w:tab/>
        <w:tab/>
        <w:tab/>
        <w:tab/>
        <w:tab/>
        <w:tab/>
        <w:tab/>
        <w:tab/>
        <w:t xml:space="preserve">Eq. </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72">
      <w:pPr>
        <w:spacing w:after="240" w:before="240" w:line="240" w:lineRule="auto"/>
        <w:ind w:firstLine="20"/>
        <w:rPr/>
      </w:pPr>
      <w:r w:rsidDel="00000000" w:rsidR="00000000" w:rsidRPr="00000000">
        <w:rPr>
          <w:rtl w:val="0"/>
        </w:rPr>
        <w:t xml:space="preserve">w</w:t>
      </w:r>
      <w:r w:rsidDel="00000000" w:rsidR="00000000" w:rsidRPr="00000000">
        <w:rPr>
          <w:rFonts w:ascii="Times" w:cs="Times" w:eastAsia="Times" w:hAnsi="Times"/>
          <w:rtl w:val="0"/>
        </w:rPr>
        <w:t xml:space="preserve">here </w:t>
      </w:r>
      <w:r w:rsidDel="00000000" w:rsidR="00000000" w:rsidRPr="00000000">
        <w:rPr>
          <w:i w:val="1"/>
          <w:iCs w:val="1"/>
          <w:rtl w:val="0"/>
        </w:rPr>
        <w:t xml:space="preserve">k </w:t>
      </w:r>
      <w:r w:rsidDel="00000000" w:rsidR="00000000" w:rsidRPr="00000000">
        <w:rPr>
          <w:rtl w:val="0"/>
        </w:rPr>
        <w:t xml:space="preserve">is the von Karman constant</w:t>
      </w:r>
      <w:r w:rsidDel="00000000" w:rsidR="00000000" w:rsidRPr="00000000">
        <w:rPr>
          <w:rtl w:val="0"/>
        </w:rPr>
        <w:t xml:space="preserve">, </w:t>
      </w:r>
      <w:r w:rsidDel="00000000" w:rsidR="00000000" w:rsidRPr="00000000">
        <w:rPr>
          <w:i w:val="1"/>
          <w:iCs w:val="1"/>
          <w:rtl w:val="0"/>
        </w:rPr>
        <w:t xml:space="preserve">z-d</w:t>
      </w:r>
      <w:r w:rsidDel="00000000" w:rsidR="00000000" w:rsidRPr="00000000">
        <w:rPr>
          <w:rtl w:val="0"/>
        </w:rPr>
        <w:t xml:space="preserve"> is the effective height as calculated in the previous section, </w:t>
      </w:r>
      <m:oMath>
        <m:bar>
          <m:barPr>
            <m:pos/>
            <m:ctrlPr>
              <w:rPr/>
            </m:ctrlPr>
          </m:barPr>
          <m:e>
            <m:r>
              <w:rPr/>
              <m:t xml:space="preserve">u</m:t>
            </m:r>
          </m:e>
        </m:bar>
      </m:oMath>
      <w:r w:rsidDel="00000000" w:rsidR="00000000" w:rsidRPr="00000000">
        <w:rPr>
          <w:rtl w:val="0"/>
        </w:rPr>
        <w:t xml:space="preserve"> is the average wind speed, and </w:t>
      </w:r>
      <m:oMath>
        <m:sSub>
          <m:sSubPr>
            <m:ctrlPr>
              <w:rPr/>
            </m:ctrlPr>
          </m:sSubPr>
          <m:e>
            <m:r>
              <w:rPr/>
              <m:t xml:space="preserve">z</m:t>
            </m:r>
          </m:e>
          <m:sub>
            <m:r>
              <w:rPr/>
              <m:t xml:space="preserve">o</m:t>
            </m:r>
          </m:sub>
        </m:sSub>
      </m:oMath>
      <w:r w:rsidDel="00000000" w:rsidR="00000000" w:rsidRPr="00000000">
        <w:rPr>
          <w:rtl w:val="0"/>
        </w:rPr>
        <w:t xml:space="preserve"> is the roughness </w:t>
      </w:r>
      <w:r w:rsidDel="00000000" w:rsidR="00000000" w:rsidRPr="00000000">
        <w:rPr>
          <w:rtl w:val="0"/>
        </w:rPr>
        <w:t xml:space="preserve">length</w:t>
      </w:r>
      <w:r w:rsidDel="00000000" w:rsidR="00000000" w:rsidRPr="00000000">
        <w:rPr>
          <w:rtl w:val="0"/>
        </w:rPr>
        <w:t xml:space="preserve"> estimated as 0.1</w:t>
      </w:r>
      <w:r w:rsidDel="00000000" w:rsidR="00000000" w:rsidRPr="00000000">
        <w:rPr>
          <w:i w:val="1"/>
          <w:iCs w:val="1"/>
          <w:rtl w:val="0"/>
        </w:rPr>
        <w:t xml:space="preserve">h</w:t>
      </w:r>
      <w:r w:rsidDel="00000000" w:rsidR="00000000" w:rsidRPr="00000000">
        <w:rPr>
          <w:rtl w:val="0"/>
        </w:rPr>
        <w:t xml:space="preserve">.  </w:t>
      </w:r>
      <m:oMath>
        <m:sSub>
          <m:sSubPr>
            <m:ctrlPr>
              <w:rPr/>
            </m:ctrlPr>
          </m:sSubPr>
          <m:e>
            <m:r>
              <w:rPr>
                <w:color w:val="202122"/>
                <w:shd w:fill="f8f9fa" w:val="clear"/>
              </w:rPr>
              <m:t xml:space="preserve">φ</m:t>
            </m:r>
          </m:e>
          <m:sub>
            <m:r>
              <w:rPr/>
              <m:t xml:space="preserve">h </m:t>
            </m:r>
          </m:sub>
        </m:sSub>
      </m:oMath>
      <w:r w:rsidDel="00000000" w:rsidR="00000000" w:rsidRPr="00000000">
        <w:rPr>
          <w:rtl w:val="0"/>
        </w:rPr>
        <w:t xml:space="preserve"> is the </w:t>
      </w:r>
      <w:r w:rsidDel="00000000" w:rsidR="00000000" w:rsidRPr="00000000">
        <w:rPr>
          <w:rtl w:val="0"/>
        </w:rPr>
        <w:t xml:space="preserve">stability correction function </w:t>
      </w:r>
      <w:r w:rsidDel="00000000" w:rsidR="00000000" w:rsidRPr="00000000">
        <w:rPr>
          <w:rtl w:val="0"/>
        </w:rPr>
        <w:t xml:space="preserve">for heat, assumed to be equal to the stability correction function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and calculated </w:t>
      </w:r>
      <w:r w:rsidDel="00000000" w:rsidR="00000000" w:rsidRPr="00000000">
        <w:rPr>
          <w:rtl w:val="0"/>
        </w:rPr>
        <w:t xml:space="preserve">as</w:t>
      </w:r>
      <w:r w:rsidDel="00000000" w:rsidR="00000000" w:rsidRPr="00000000">
        <w:rPr>
          <w:rtl w:val="0"/>
        </w:rPr>
        <w:t xml:space="preserve"> </w:t>
      </w:r>
      <w:hyperlink r:id="rId68">
        <w:r w:rsidDel="00000000" w:rsidR="00000000" w:rsidRPr="00000000">
          <w:rPr>
            <w:b w:val="0"/>
            <w:bCs w:val="0"/>
            <w:color w:val="000000"/>
            <w:u w:val="none"/>
            <w:rtl w:val="0"/>
          </w:rPr>
          <w:t xml:space="preserve">(Lee et al., 2018)</w:t>
        </w:r>
      </w:hyperlink>
      <w:r w:rsidDel="00000000" w:rsidR="00000000" w:rsidRPr="00000000">
        <w:rPr>
          <w:rtl w:val="0"/>
        </w:rPr>
        <w:t xml:space="preserve">:</w:t>
        <w:tab/>
        <w:tab/>
        <w:tab/>
        <w:tab/>
        <w:tab/>
        <w:tab/>
        <w:tab/>
        <w:tab/>
        <w:tab/>
      </w:r>
    </w:p>
    <w:p w:rsidR="00000000" w:rsidDel="00000000" w:rsidP="00000000" w:rsidRDefault="00000000" w:rsidRPr="00000000" w14:paraId="00000073">
      <w:pPr>
        <w:ind w:left="0" w:firstLine="0"/>
        <w:rPr/>
      </w:pPr>
      <w:r w:rsidDel="00000000" w:rsidR="00000000" w:rsidRPr="00000000">
        <w:rPr>
          <w:rtl w:val="0"/>
        </w:rPr>
        <w:t xml:space="preserve">for -5 &lt; </w:t>
      </w:r>
      <m:oMath>
        <m:r>
          <w:rPr/>
          <m:t xml:space="preserve">ζ</m:t>
        </m:r>
      </m:oMath>
      <w:r w:rsidDel="00000000" w:rsidR="00000000" w:rsidRPr="00000000">
        <w:rPr>
          <w:rtl w:val="0"/>
        </w:rPr>
        <w:t xml:space="preserve"> &lt; 0:</w:t>
        <w:tab/>
        <w:tab/>
        <w:tab/>
        <w:tab/>
        <w:tab/>
        <w:tab/>
        <w:tab/>
        <w:tab/>
        <w:tab/>
      </w:r>
    </w:p>
    <w:p w:rsidR="00000000" w:rsidDel="00000000" w:rsidP="00000000" w:rsidRDefault="00000000" w:rsidRPr="00000000" w14:paraId="00000074">
      <w:pPr>
        <w:rPr/>
      </w:pPr>
      <m:oMath>
        <m:sSub>
          <m:sSubPr>
            <m:ctrlPr>
              <w:rPr/>
            </m:ctrlPr>
          </m:sSubPr>
          <m:e>
            <m:r>
              <w:rPr>
                <w:color w:val="202122"/>
                <w:shd w:fill="f8f9fa" w:val="clear"/>
              </w:rPr>
              <m:t xml:space="preserve">φ</m:t>
            </m:r>
          </m:e>
          <m:sub>
            <m:r>
              <w:rPr/>
              <m:t xml:space="preserve">h </m:t>
            </m:r>
          </m:sub>
        </m:sSub>
        <m:r>
          <w:rPr/>
          <m:t xml:space="preserve"> = </m:t>
        </m:r>
        <m:sSup>
          <m:sSupPr>
            <m:ctrlPr>
              <w:rPr/>
            </m:ctrlPr>
          </m:sSupPr>
          <m:e>
            <m:r>
              <w:rPr/>
              <m:t xml:space="preserve">(1-16ζ)</m:t>
            </m:r>
          </m:e>
          <m:sup>
            <m:r>
              <w:rPr/>
              <m:t xml:space="preserve">-1/2</m:t>
            </m:r>
          </m:sup>
        </m:sSup>
      </m:oMath>
      <w:r w:rsidDel="00000000" w:rsidR="00000000" w:rsidRPr="00000000">
        <w:rPr>
          <w:rtl w:val="0"/>
        </w:rPr>
        <w:tab/>
        <w:tab/>
        <w:tab/>
        <w:tab/>
        <w:tab/>
        <w:tab/>
        <w:tab/>
        <w:tab/>
        <w:tab/>
        <w:t xml:space="preserve">Eq. 7</w:t>
      </w:r>
    </w:p>
    <w:p w:rsidR="00000000" w:rsidDel="00000000" w:rsidP="00000000" w:rsidRDefault="00000000" w:rsidRPr="00000000" w14:paraId="00000075">
      <w:pPr>
        <w:rPr/>
      </w:pPr>
      <w:r w:rsidDel="00000000" w:rsidR="00000000" w:rsidRPr="00000000">
        <w:rPr>
          <w:rtl w:val="0"/>
        </w:rPr>
        <w:tab/>
        <w:tab/>
        <w:tab/>
        <w:tab/>
        <w:tab/>
        <w:tab/>
      </w:r>
    </w:p>
    <w:p w:rsidR="00000000" w:rsidDel="00000000" w:rsidP="00000000" w:rsidRDefault="00000000" w:rsidRPr="00000000" w14:paraId="00000076">
      <w:pPr>
        <w:ind w:left="0" w:firstLine="0"/>
        <w:rPr/>
      </w:pPr>
      <w:r w:rsidDel="00000000" w:rsidR="00000000" w:rsidRPr="00000000">
        <w:rPr>
          <w:rtl w:val="0"/>
        </w:rPr>
        <w:t xml:space="preserve">for 0 &lt;= </w:t>
      </w:r>
      <m:oMath>
        <m:r>
          <w:rPr/>
          <m:t xml:space="preserve">ζ</m:t>
        </m:r>
      </m:oMath>
      <w:r w:rsidDel="00000000" w:rsidR="00000000" w:rsidRPr="00000000">
        <w:rPr>
          <w:rtl w:val="0"/>
        </w:rPr>
        <w:t xml:space="preserve"> &lt; 1:</w:t>
      </w:r>
    </w:p>
    <w:p w:rsidR="00000000" w:rsidDel="00000000" w:rsidP="00000000" w:rsidRDefault="00000000" w:rsidRPr="00000000" w14:paraId="00000077">
      <w:pPr>
        <w:rPr/>
      </w:pPr>
      <m:oMath>
        <m:r>
          <w:rPr/>
          <m:t xml:space="preserve"> </m:t>
        </m:r>
        <m:sSub>
          <m:sSubPr>
            <m:ctrlPr>
              <w:rPr/>
            </m:ctrlPr>
          </m:sSubPr>
          <m:e>
            <m:r>
              <w:rPr>
                <w:shd w:fill="f8f9fa" w:val="clear"/>
              </w:rPr>
              <m:t xml:space="preserve">φ</m:t>
            </m:r>
          </m:e>
          <m:sub>
            <m:r>
              <w:rPr/>
              <m:t xml:space="preserve">h </m:t>
            </m:r>
          </m:sub>
        </m:sSub>
        <m:r>
          <w:rPr/>
          <m:t xml:space="preserve"> = 1 + 5</m:t>
        </m:r>
      </m:oMath>
      <m:oMath>
        <m:r>
          <w:rPr/>
          <m:t xml:space="preserve">ζ</m:t>
        </m:r>
      </m:oMath>
      <w:r w:rsidDel="00000000" w:rsidR="00000000" w:rsidRPr="00000000">
        <w:rPr>
          <w:rtl w:val="0"/>
        </w:rPr>
        <w:tab/>
        <w:tab/>
        <w:tab/>
        <w:tab/>
        <w:tab/>
        <w:tab/>
        <w:tab/>
        <w:tab/>
        <w:tab/>
        <w:t xml:space="preserve">Eq. 8</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2"/>
        <w:spacing w:after="240" w:before="240" w:line="240" w:lineRule="auto"/>
        <w:rPr>
          <w:color w:val="000000"/>
          <w:sz w:val="22"/>
          <w:szCs w:val="22"/>
        </w:rPr>
      </w:pPr>
      <w:bookmarkStart w:colFirst="0" w:colLast="0" w:name="_k5wjp941jxfy" w:id="11"/>
      <w:bookmarkEnd w:id="11"/>
      <w:r w:rsidDel="00000000" w:rsidR="00000000" w:rsidRPr="00000000">
        <w:rPr>
          <w:color w:val="000000"/>
          <w:sz w:val="22"/>
          <w:szCs w:val="22"/>
          <w:rtl w:val="0"/>
        </w:rPr>
        <w:t xml:space="preserve">2.5. Filtering Gradient Fluxe</w:t>
      </w:r>
      <w:r w:rsidDel="00000000" w:rsidR="00000000" w:rsidRPr="00000000">
        <w:rPr>
          <w:color w:val="000000"/>
          <w:sz w:val="22"/>
          <w:szCs w:val="22"/>
          <w:rtl w:val="0"/>
        </w:rPr>
        <w:t xml:space="preserve">s</w:t>
      </w:r>
      <w:r w:rsidDel="00000000" w:rsidR="00000000" w:rsidRPr="00000000">
        <w:rPr>
          <w:rtl w:val="0"/>
        </w:rPr>
      </w:r>
    </w:p>
    <w:p w:rsidR="00000000" w:rsidDel="00000000" w:rsidP="00000000" w:rsidRDefault="00000000" w:rsidRPr="00000000" w14:paraId="0000007A">
      <w:pPr>
        <w:rPr>
          <w:rFonts w:ascii="Times" w:cs="Times" w:eastAsia="Times" w:hAnsi="Times"/>
        </w:rPr>
      </w:pPr>
      <w:r w:rsidDel="00000000" w:rsidR="00000000" w:rsidRPr="00000000">
        <w:rPr>
          <w:rFonts w:ascii="Times" w:cs="Times" w:eastAsia="Times" w:hAnsi="Times"/>
          <w:rtl w:val="0"/>
        </w:rPr>
        <w:t xml:space="preserve">Gradient fluxes were filtered using a signal-to-noise ratio (SNR) based on the difference</w:t>
      </w:r>
      <w:r w:rsidDel="00000000" w:rsidR="00000000" w:rsidRPr="00000000">
        <w:rPr>
          <w:rFonts w:ascii="Times" w:cs="Times" w:eastAsia="Times" w:hAnsi="Times"/>
          <w:rtl w:val="0"/>
        </w:rPr>
        <w:t xml:space="preserve"> in concentration (</w:t>
      </w:r>
      <m:oMath>
        <m:r>
          <m:t>Δ</m:t>
        </m:r>
      </m:oMath>
      <w:r w:rsidDel="00000000" w:rsidR="00000000" w:rsidRPr="00000000">
        <w:rPr>
          <w:rtl w:val="0"/>
        </w:rPr>
        <w:t xml:space="preserve">C</w:t>
      </w:r>
      <w:r w:rsidDel="00000000" w:rsidR="00000000" w:rsidRPr="00000000">
        <w:rPr>
          <w:rFonts w:ascii="Times" w:cs="Times" w:eastAsia="Times" w:hAnsi="Times"/>
          <w:rtl w:val="0"/>
        </w:rPr>
        <w:t xml:space="preserve">) of the target gas (Eq.</w:t>
      </w:r>
      <w:r w:rsidDel="00000000" w:rsidR="00000000" w:rsidRPr="00000000">
        <w:rPr>
          <w:rtl w:val="0"/>
        </w:rPr>
        <w:t xml:space="preserve">9</w:t>
      </w:r>
      <w:r w:rsidDel="00000000" w:rsidR="00000000" w:rsidRPr="00000000">
        <w:rPr>
          <w:rFonts w:ascii="Times" w:cs="Times" w:eastAsia="Times" w:hAnsi="Times"/>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shd w:fill="ffffff" w:val="clear"/>
        <w:spacing w:after="240" w:before="240" w:line="240" w:lineRule="auto"/>
        <w:ind w:left="0" w:firstLine="720"/>
        <w:rPr>
          <w:rFonts w:ascii="Times" w:cs="Times" w:eastAsia="Times" w:hAnsi="Times"/>
          <w:b w:val="1"/>
          <w:bCs w:val="1"/>
        </w:rPr>
      </w:pPr>
      <m:oMath>
        <m:r>
          <w:rPr>
            <w:rFonts w:ascii="Times" w:cs="Times" w:eastAsia="Times" w:hAnsi="Times"/>
          </w:rPr>
          <m:t xml:space="preserve">SNR =</m:t>
        </m:r>
        <m:f>
          <m:fPr>
            <m:ctrlPr>
              <w:rPr>
                <w:rFonts w:ascii="Times" w:cs="Times" w:eastAsia="Times" w:hAnsi="Times"/>
              </w:rPr>
            </m:ctrlPr>
          </m:fPr>
          <m:num>
            <m:r>
              <w:rPr/>
              <m:t xml:space="preserve">|</m:t>
            </m:r>
            <m:r>
              <w:rPr/>
              <m:t>Δ</m:t>
            </m:r>
            <m:r>
              <w:rPr>
                <w:rFonts w:ascii="Times" w:cs="Times" w:eastAsia="Times" w:hAnsi="Times"/>
              </w:rPr>
              <m:t xml:space="preserve">C</m:t>
            </m:r>
            <m:r>
              <w:rPr/>
              <m:t xml:space="preserve">|</m:t>
            </m:r>
          </m:num>
          <m:den>
            <m:r>
              <w:rPr>
                <w:rFonts w:ascii="Times" w:cs="Times" w:eastAsia="Times" w:hAnsi="Times"/>
              </w:rPr>
              <m:t xml:space="preserve">sd(</m:t>
            </m:r>
            <m:r>
              <w:rPr>
                <w:rFonts w:ascii="Times" w:cs="Times" w:eastAsia="Times" w:hAnsi="Times"/>
              </w:rPr>
              <m:t>Δ</m:t>
            </m:r>
            <m:r>
              <w:rPr>
                <w:rFonts w:ascii="Times" w:cs="Times" w:eastAsia="Times" w:hAnsi="Times"/>
              </w:rPr>
              <m:t xml:space="preserve">C)</m:t>
            </m:r>
          </m:den>
        </m:f>
      </m:oMath>
      <w:r w:rsidDel="00000000" w:rsidR="00000000" w:rsidRPr="00000000">
        <w:rPr>
          <w:rFonts w:ascii="Times" w:cs="Times" w:eastAsia="Times" w:hAnsi="Times"/>
          <w:rtl w:val="0"/>
        </w:rPr>
        <w:tab/>
        <w:tab/>
        <w:tab/>
        <w:tab/>
        <w:tab/>
        <w:tab/>
        <w:tab/>
        <w:tab/>
        <w:tab/>
        <w:tab/>
        <w:t xml:space="preserve">Eq.</w:t>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7C">
      <w:pPr>
        <w:spacing w:after="0" w:before="0" w:line="240" w:lineRule="auto"/>
        <w:ind w:left="0" w:firstLine="0"/>
        <w:rPr/>
      </w:pPr>
      <w:r w:rsidDel="00000000" w:rsidR="00000000" w:rsidRPr="00000000">
        <w:rPr>
          <w:rtl w:val="0"/>
        </w:rPr>
        <w:t xml:space="preserve">We randomly sampled concentration measurements within the sampling period to estimate the standard deviation in △C. </w:t>
      </w:r>
      <w:r w:rsidDel="00000000" w:rsidR="00000000" w:rsidRPr="00000000">
        <w:rPr>
          <w:rFonts w:ascii="Times" w:cs="Times" w:eastAsia="Times" w:hAnsi="Times"/>
          <w:rtl w:val="0"/>
        </w:rPr>
        <w:t xml:space="preserve">A conservative threshold of 3 was used at every site, </w:t>
      </w:r>
      <w:r w:rsidDel="00000000" w:rsidR="00000000" w:rsidRPr="00000000">
        <w:rPr>
          <w:rFonts w:ascii="Times" w:cs="Times" w:eastAsia="Times" w:hAnsi="Times"/>
          <w:rtl w:val="0"/>
        </w:rPr>
        <w:t xml:space="preserve">based on</w:t>
      </w:r>
      <w:r w:rsidDel="00000000" w:rsidR="00000000" w:rsidRPr="00000000">
        <w:rPr>
          <w:rtl w:val="0"/>
        </w:rPr>
        <w:t xml:space="preserve"> the stabilization of the error between EC and GF for SNR values above this threshold</w:t>
      </w:r>
      <w:r w:rsidDel="00000000" w:rsidR="00000000" w:rsidRPr="00000000">
        <w:rPr>
          <w:rFonts w:ascii="Times" w:cs="Times" w:eastAsia="Times" w:hAnsi="Times"/>
          <w:rtl w:val="0"/>
        </w:rPr>
        <w:t xml:space="preserve">. Depending on the technique, an SNR for both the target </w:t>
      </w:r>
      <w:r w:rsidDel="00000000" w:rsidR="00000000" w:rsidRPr="00000000">
        <w:rPr>
          <w:rtl w:val="0"/>
        </w:rPr>
        <w:t xml:space="preserve">and tracer gases (TSNR) was required</w:t>
      </w:r>
      <w:r w:rsidDel="00000000" w:rsidR="00000000" w:rsidRPr="00000000">
        <w:rPr>
          <w:rFonts w:ascii="Times" w:cs="Times" w:eastAsia="Times" w:hAnsi="Times"/>
          <w:rtl w:val="0"/>
        </w:rPr>
        <w:t xml:space="preserve"> (MBR). In addition to filtering for SNR, we also filtered </w:t>
      </w:r>
      <w:r w:rsidDel="00000000" w:rsidR="00000000" w:rsidRPr="00000000">
        <w:rPr>
          <w:rtl w:val="0"/>
        </w:rPr>
        <w:t xml:space="preserve">GFs</w:t>
      </w:r>
      <w:r w:rsidDel="00000000" w:rsidR="00000000" w:rsidRPr="00000000">
        <w:rPr>
          <w:rFonts w:ascii="Times" w:cs="Times" w:eastAsia="Times" w:hAnsi="Times"/>
          <w:rtl w:val="0"/>
        </w:rPr>
        <w:t xml:space="preserve"> using the friction velocity threshold (u*) defined for each site by Ameri</w:t>
      </w:r>
      <w:r w:rsidDel="00000000" w:rsidR="00000000" w:rsidRPr="00000000">
        <w:rPr>
          <w:rtl w:val="0"/>
        </w:rPr>
        <w:t xml:space="preserve">F</w:t>
      </w:r>
      <w:r w:rsidDel="00000000" w:rsidR="00000000" w:rsidRPr="00000000">
        <w:rPr>
          <w:rFonts w:ascii="Times" w:cs="Times" w:eastAsia="Times" w:hAnsi="Times"/>
          <w:rtl w:val="0"/>
        </w:rPr>
        <w:t xml:space="preserve">lux </w:t>
      </w:r>
      <w:hyperlink r:id="rId69">
        <w:r w:rsidDel="00000000" w:rsidR="00000000" w:rsidRPr="00000000">
          <w:rPr>
            <w:rFonts w:ascii="Times" w:cs="Times" w:eastAsia="Times" w:hAnsi="Times"/>
            <w:b w:val="0"/>
            <w:bCs w:val="0"/>
            <w:color w:val="000000"/>
            <w:u w:val="none"/>
            <w:rtl w:val="0"/>
          </w:rPr>
          <w:t xml:space="preserve">(Gu et al., 2005)</w:t>
        </w:r>
      </w:hyperlink>
      <w:r w:rsidDel="00000000" w:rsidR="00000000" w:rsidRPr="00000000">
        <w:rPr>
          <w:rFonts w:ascii="Times" w:cs="Times" w:eastAsia="Times" w:hAnsi="Times"/>
          <w:rtl w:val="0"/>
        </w:rPr>
        <w:t xml:space="preserve"> at the top of the towers. The u* threshold indicate</w:t>
      </w:r>
      <w:r w:rsidDel="00000000" w:rsidR="00000000" w:rsidRPr="00000000">
        <w:rPr>
          <w:rtl w:val="0"/>
        </w:rPr>
        <w:t xml:space="preserve">d</w:t>
      </w:r>
      <w:r w:rsidDel="00000000" w:rsidR="00000000" w:rsidRPr="00000000">
        <w:rPr>
          <w:rFonts w:ascii="Times" w:cs="Times" w:eastAsia="Times" w:hAnsi="Times"/>
          <w:rtl w:val="0"/>
        </w:rPr>
        <w:t xml:space="preserve"> when shear-driven turbulent mixing </w:t>
      </w:r>
      <w:r w:rsidDel="00000000" w:rsidR="00000000" w:rsidRPr="00000000">
        <w:rPr>
          <w:rtl w:val="0"/>
        </w:rPr>
        <w:t xml:space="preserve">was insufficient</w:t>
      </w:r>
      <w:r w:rsidDel="00000000" w:rsidR="00000000" w:rsidRPr="00000000">
        <w:rPr>
          <w:rFonts w:ascii="Times" w:cs="Times" w:eastAsia="Times" w:hAnsi="Times"/>
          <w:rtl w:val="0"/>
        </w:rPr>
        <w:t xml:space="preserve"> </w:t>
      </w:r>
      <w:hyperlink r:id="rId70">
        <w:r w:rsidDel="00000000" w:rsidR="00000000" w:rsidRPr="00000000">
          <w:rPr>
            <w:rFonts w:ascii="Times" w:cs="Times" w:eastAsia="Times" w:hAnsi="Times"/>
            <w:b w:val="0"/>
            <w:bCs w:val="0"/>
            <w:color w:val="000000"/>
            <w:u w:val="none"/>
            <w:rtl w:val="0"/>
          </w:rPr>
          <w:t xml:space="preserve">(Gu et al., 2005)</w:t>
        </w:r>
      </w:hyperlink>
      <w:r w:rsidDel="00000000" w:rsidR="00000000" w:rsidRPr="00000000">
        <w:rPr>
          <w:rFonts w:ascii="Times" w:cs="Times" w:eastAsia="Times" w:hAnsi="Times"/>
          <w:rtl w:val="0"/>
        </w:rPr>
        <w:t xml:space="preserve">.</w:t>
      </w:r>
      <w:r w:rsidDel="00000000" w:rsidR="00000000" w:rsidRPr="00000000">
        <w:rPr>
          <w:rtl w:val="0"/>
        </w:rPr>
        <w:t xml:space="preserve"> F</w:t>
      </w:r>
      <w:r w:rsidDel="00000000" w:rsidR="00000000" w:rsidRPr="00000000">
        <w:rPr>
          <w:rtl w:val="0"/>
        </w:rPr>
        <w:t xml:space="preserve">iltering GFs resulted in substantial data loss across approaches, ranging from 70% to 90%, for both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The SNR was the strongest filter, and u* was typically associated with less than 50% data loss. The </w:t>
      </w:r>
      <w:r w:rsidDel="00000000" w:rsidR="00000000" w:rsidRPr="00000000">
        <w:rPr>
          <w:rtl w:val="0"/>
        </w:rPr>
        <w:t xml:space="preserve">TSNR</w:t>
      </w:r>
      <w:r w:rsidDel="00000000" w:rsidR="00000000" w:rsidRPr="00000000">
        <w:rPr>
          <w:rtl w:val="0"/>
        </w:rPr>
        <w:t xml:space="preserve">, used for the MBR, filtered an additional </w:t>
      </w:r>
      <w:r w:rsidDel="00000000" w:rsidR="00000000" w:rsidRPr="00000000">
        <w:rPr>
          <w:rtl w:val="0"/>
        </w:rPr>
        <w:t xml:space="preserve">~20-30% of the remaining data on average</w:t>
      </w:r>
      <w:r w:rsidDel="00000000" w:rsidR="00000000" w:rsidRPr="00000000">
        <w:rPr>
          <w:rtl w:val="0"/>
        </w:rPr>
        <w:t xml:space="preserve">. As a result of the TSNR, more data was filtered for the MBR than for the AE and WP. Filtered data also varied by sampling height pairs. Fewer data were filtered when at least one measurement was above the canopy (AA or AW).</w:t>
      </w:r>
      <w:r w:rsidDel="00000000" w:rsidR="00000000" w:rsidRPr="00000000">
        <w:rPr>
          <w:rtl w:val="0"/>
        </w:rPr>
      </w:r>
    </w:p>
    <w:p w:rsidR="00000000" w:rsidDel="00000000" w:rsidP="00000000" w:rsidRDefault="00000000" w:rsidRPr="00000000" w14:paraId="0000007D">
      <w:pPr>
        <w:pStyle w:val="Heading3"/>
        <w:spacing w:after="240" w:before="240" w:line="240" w:lineRule="auto"/>
        <w:rPr/>
      </w:pPr>
      <w:bookmarkStart w:colFirst="0" w:colLast="0" w:name="_4g3y491fvxxh" w:id="12"/>
      <w:bookmarkEnd w:id="12"/>
      <w:r w:rsidDel="00000000" w:rsidR="00000000" w:rsidRPr="00000000">
        <w:rPr>
          <w:rtl w:val="0"/>
        </w:rPr>
        <w:t xml:space="preserve">2.6. Evaluation of Gradient Fluxes</w:t>
      </w:r>
    </w:p>
    <w:p w:rsidR="00000000" w:rsidDel="00000000" w:rsidP="00000000" w:rsidRDefault="00000000" w:rsidRPr="00000000" w14:paraId="0000007E">
      <w:pPr>
        <w:spacing w:line="240" w:lineRule="auto"/>
        <w:ind w:firstLine="720"/>
        <w:rPr/>
      </w:pPr>
      <w:r w:rsidDel="00000000" w:rsidR="00000000" w:rsidRPr="00000000">
        <w:rPr>
          <w:rtl w:val="0"/>
        </w:rPr>
        <w:t xml:space="preserve">We compared filtered GFs to the EC method as a standard. We </w:t>
      </w:r>
      <w:r w:rsidDel="00000000" w:rsidR="00000000" w:rsidRPr="00000000">
        <w:rPr>
          <w:rtl w:val="0"/>
        </w:rPr>
        <w:t xml:space="preserve">determined</w:t>
      </w:r>
      <w:r w:rsidDel="00000000" w:rsidR="00000000" w:rsidRPr="00000000">
        <w:rPr>
          <w:rFonts w:ascii="Times" w:cs="Times" w:eastAsia="Times" w:hAnsi="Times"/>
          <w:rtl w:val="0"/>
        </w:rPr>
        <w:t xml:space="preserve"> which </w:t>
      </w:r>
      <w:r w:rsidDel="00000000" w:rsidR="00000000" w:rsidRPr="00000000">
        <w:rPr>
          <w:rtl w:val="0"/>
        </w:rPr>
        <w:t xml:space="preserve">sampling height pairs</w:t>
      </w:r>
      <w:r w:rsidDel="00000000" w:rsidR="00000000" w:rsidRPr="00000000">
        <w:rPr>
          <w:rFonts w:ascii="Times" w:cs="Times" w:eastAsia="Times" w:hAnsi="Times"/>
          <w:rtl w:val="0"/>
        </w:rPr>
        <w:t xml:space="preserve"> </w:t>
      </w:r>
      <w:r w:rsidDel="00000000" w:rsidR="00000000" w:rsidRPr="00000000">
        <w:rPr>
          <w:rtl w:val="0"/>
        </w:rPr>
        <w:t xml:space="preserve">yielded reliable data</w:t>
      </w:r>
      <w:r w:rsidDel="00000000" w:rsidR="00000000" w:rsidRPr="00000000">
        <w:rPr>
          <w:rFonts w:ascii="Times" w:cs="Times" w:eastAsia="Times" w:hAnsi="Times"/>
          <w:rtl w:val="0"/>
        </w:rPr>
        <w:t xml:space="preserve"> </w:t>
      </w:r>
      <w:r w:rsidDel="00000000" w:rsidR="00000000" w:rsidRPr="00000000">
        <w:rPr>
          <w:rtl w:val="0"/>
        </w:rPr>
        <w:t xml:space="preserve">using </w:t>
      </w:r>
      <w:r w:rsidDel="00000000" w:rsidR="00000000" w:rsidRPr="00000000">
        <w:rPr>
          <w:rtl w:val="0"/>
        </w:rPr>
        <w:t xml:space="preserve">Lin’s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concordance</w:t>
      </w:r>
      <w:r w:rsidDel="00000000" w:rsidR="00000000" w:rsidRPr="00000000">
        <w:rPr>
          <w:rFonts w:ascii="Times" w:cs="Times" w:eastAsia="Times" w:hAnsi="Times"/>
          <w:highlight w:val="white"/>
          <w:rtl w:val="0"/>
        </w:rPr>
        <w:t xml:space="preserve"> correlation coefficient (CCC), a statistic </w:t>
      </w:r>
      <w:r w:rsidDel="00000000" w:rsidR="00000000" w:rsidRPr="00000000">
        <w:rPr>
          <w:highlight w:val="white"/>
          <w:rtl w:val="0"/>
        </w:rPr>
        <w:t xml:space="preserve">that</w:t>
      </w:r>
      <w:r w:rsidDel="00000000" w:rsidR="00000000" w:rsidRPr="00000000">
        <w:rPr>
          <w:rFonts w:ascii="Times" w:cs="Times" w:eastAsia="Times" w:hAnsi="Times"/>
          <w:highlight w:val="white"/>
          <w:rtl w:val="0"/>
        </w:rPr>
        <w:t xml:space="preserve"> </w:t>
      </w:r>
      <w:r w:rsidDel="00000000" w:rsidR="00000000" w:rsidRPr="00000000">
        <w:rPr>
          <w:highlight w:val="white"/>
          <w:rtl w:val="0"/>
        </w:rPr>
        <w:t xml:space="preserve">assesses</w:t>
      </w:r>
      <w:r w:rsidDel="00000000" w:rsidR="00000000" w:rsidRPr="00000000">
        <w:rPr>
          <w:rFonts w:ascii="Times" w:cs="Times" w:eastAsia="Times" w:hAnsi="Times"/>
          <w:rtl w:val="0"/>
        </w:rPr>
        <w:t xml:space="preserve"> the agreement between two </w:t>
      </w:r>
      <w:r w:rsidDel="00000000" w:rsidR="00000000" w:rsidRPr="00000000">
        <w:rPr>
          <w:rtl w:val="0"/>
        </w:rPr>
        <w:t xml:space="preserve">continuous measurement sets</w:t>
      </w:r>
      <w:r w:rsidDel="00000000" w:rsidR="00000000" w:rsidRPr="00000000">
        <w:rPr>
          <w:rFonts w:ascii="Times" w:cs="Times" w:eastAsia="Times" w:hAnsi="Times"/>
          <w:rtl w:val="0"/>
        </w:rPr>
        <w:t xml:space="preserve"> </w:t>
      </w:r>
      <w:hyperlink r:id="rId71">
        <w:r w:rsidDel="00000000" w:rsidR="00000000" w:rsidRPr="00000000">
          <w:rPr>
            <w:rFonts w:ascii="Times" w:cs="Times" w:eastAsia="Times" w:hAnsi="Times"/>
            <w:b w:val="0"/>
            <w:bCs w:val="0"/>
            <w:color w:val="000000"/>
            <w:u w:val="none"/>
            <w:rtl w:val="0"/>
          </w:rPr>
          <w:t xml:space="preserve">(Lin, 1989)</w:t>
        </w:r>
      </w:hyperlink>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T</w:t>
      </w:r>
      <w:r w:rsidDel="00000000" w:rsidR="00000000" w:rsidRPr="00000000">
        <w:rPr>
          <w:rFonts w:ascii="Times" w:cs="Times" w:eastAsia="Times" w:hAnsi="Times"/>
          <w:highlight w:val="white"/>
          <w:rtl w:val="0"/>
        </w:rPr>
        <w:t xml:space="preserve">he CCC is often used to evaluate the reliability against a </w:t>
      </w:r>
      <w:r w:rsidDel="00000000" w:rsidR="00000000" w:rsidRPr="00000000">
        <w:rPr>
          <w:highlight w:val="white"/>
          <w:rtl w:val="0"/>
        </w:rPr>
        <w:t xml:space="preserve">benchmark</w:t>
      </w:r>
      <w:r w:rsidDel="00000000" w:rsidR="00000000" w:rsidRPr="00000000">
        <w:rPr>
          <w:rFonts w:ascii="Times" w:cs="Times" w:eastAsia="Times" w:hAnsi="Times"/>
          <w:highlight w:val="white"/>
          <w:rtl w:val="0"/>
        </w:rPr>
        <w:t xml:space="preserve">. A CCC value close to 1 indicates high positive agreement, meaning a strong linear relationship with </w:t>
      </w:r>
      <w:r w:rsidDel="00000000" w:rsidR="00000000" w:rsidRPr="00000000">
        <w:rPr>
          <w:highlight w:val="white"/>
          <w:rtl w:val="0"/>
        </w:rPr>
        <w:t xml:space="preserve">slight</w:t>
      </w:r>
      <w:r w:rsidDel="00000000" w:rsidR="00000000" w:rsidRPr="00000000">
        <w:rPr>
          <w:rFonts w:ascii="Times" w:cs="Times" w:eastAsia="Times" w:hAnsi="Times"/>
          <w:highlight w:val="white"/>
          <w:rtl w:val="0"/>
        </w:rPr>
        <w:t xml:space="preserve"> bias. A CCC value close to -1 suggests </w:t>
      </w:r>
      <w:r w:rsidDel="00000000" w:rsidR="00000000" w:rsidRPr="00000000">
        <w:rPr>
          <w:highlight w:val="white"/>
          <w:rtl w:val="0"/>
        </w:rPr>
        <w:t xml:space="preserve">strong negative agreement, meaning a strong linear relationship, but the two datasets are mirror images of each</w:t>
      </w:r>
      <w:r w:rsidDel="00000000" w:rsidR="00000000" w:rsidRPr="00000000">
        <w:rPr>
          <w:rFonts w:ascii="Times" w:cs="Times" w:eastAsia="Times" w:hAnsi="Times"/>
          <w:highlight w:val="white"/>
          <w:rtl w:val="0"/>
        </w:rPr>
        <w:t xml:space="preserve"> other. A CCC value close to 0 implies a very weak lin</w:t>
      </w:r>
      <w:r w:rsidDel="00000000" w:rsidR="00000000" w:rsidRPr="00000000">
        <w:rPr>
          <w:rFonts w:ascii="Times" w:cs="Times" w:eastAsia="Times" w:hAnsi="Times"/>
          <w:rtl w:val="0"/>
        </w:rPr>
        <w:t xml:space="preserve">ear</w:t>
      </w:r>
      <w:r w:rsidDel="00000000" w:rsidR="00000000" w:rsidRPr="00000000">
        <w:rPr>
          <w:rFonts w:ascii="Times" w:cs="Times" w:eastAsia="Times" w:hAnsi="Times"/>
          <w:rtl w:val="0"/>
        </w:rPr>
        <w:t xml:space="preserve"> relationship.</w:t>
      </w:r>
      <w:r w:rsidDel="00000000" w:rsidR="00000000" w:rsidRPr="00000000">
        <w:rPr>
          <w:rFonts w:ascii="Times" w:cs="Times" w:eastAsia="Times" w:hAnsi="Times"/>
          <w:rtl w:val="0"/>
        </w:rPr>
        <w:t xml:space="preserve"> </w:t>
      </w:r>
      <w:r w:rsidDel="00000000" w:rsidR="00000000" w:rsidRPr="00000000">
        <w:rPr>
          <w:rtl w:val="0"/>
        </w:rPr>
        <w:t xml:space="preserve">To test for significant differences in CCC values, we used the </w:t>
      </w:r>
      <w:r w:rsidDel="00000000" w:rsidR="00000000" w:rsidRPr="00000000">
        <w:rPr>
          <w:rtl w:val="0"/>
        </w:rPr>
        <w:t xml:space="preserve">Kruskal-Wallis rank sum test in R </w:t>
      </w:r>
      <w:hyperlink r:id="rId72">
        <w:r w:rsidDel="00000000" w:rsidR="00000000" w:rsidRPr="00000000">
          <w:rPr>
            <w:b w:val="0"/>
            <w:bCs w:val="0"/>
            <w:color w:val="000000"/>
            <w:u w:val="none"/>
            <w:rtl w:val="0"/>
          </w:rPr>
          <w:t xml:space="preserve">(Okoye and Hosseini, 2024; Ostertagova et al., 2014)</w:t>
        </w:r>
      </w:hyperlink>
      <w:r w:rsidDel="00000000" w:rsidR="00000000" w:rsidRPr="00000000">
        <w:rPr>
          <w:rtl w:val="0"/>
        </w:rPr>
        <w:t xml:space="preserve">. This </w:t>
      </w:r>
      <w:r w:rsidDel="00000000" w:rsidR="00000000" w:rsidRPr="00000000">
        <w:rPr>
          <w:rtl w:val="0"/>
        </w:rPr>
        <w:t xml:space="preserve">nonparametric statistical test was used to determine if there were statistically significant differences between the medians of GF approaches or sampling height pairs</w:t>
      </w:r>
      <w:r w:rsidDel="00000000" w:rsidR="00000000" w:rsidRPr="00000000">
        <w:rPr>
          <w:rtl w:val="0"/>
        </w:rPr>
        <w:t xml:space="preserve">. The Kruskal-Wallis test ranks all the data across all groups, then sums the ranks within each group and compares the sums to determine whether they differ significantly. </w:t>
      </w:r>
    </w:p>
    <w:p w:rsidR="00000000" w:rsidDel="00000000" w:rsidP="00000000" w:rsidRDefault="00000000" w:rsidRPr="00000000" w14:paraId="0000007F">
      <w:pPr>
        <w:spacing w:line="240" w:lineRule="auto"/>
        <w:ind w:firstLine="720"/>
        <w:rPr/>
      </w:pPr>
      <w:r w:rsidDel="00000000" w:rsidR="00000000" w:rsidRPr="00000000">
        <w:rPr>
          <w:rtl w:val="0"/>
        </w:rPr>
        <w:t xml:space="preserve">To assess an appropriate concordance threshold for identifying reliable sampling-height pairs (RSHP), we conducted a sensitivity analysis using three candidate cutoffs for the agreement between gradient fluxes and eddy covariance (EC), </w:t>
      </w:r>
      <w:r w:rsidDel="00000000" w:rsidR="00000000" w:rsidRPr="00000000">
        <w:rPr>
          <w:rtl w:val="0"/>
        </w:rPr>
        <w:t xml:space="preserve">CCC ≥ 0.3</w:t>
      </w:r>
      <w:r w:rsidDel="00000000" w:rsidR="00000000" w:rsidRPr="00000000">
        <w:rPr>
          <w:rtl w:val="0"/>
        </w:rPr>
        <w:t xml:space="preserve">, </w:t>
      </w:r>
      <w:r w:rsidDel="00000000" w:rsidR="00000000" w:rsidRPr="00000000">
        <w:rPr>
          <w:rtl w:val="0"/>
        </w:rPr>
        <w:t xml:space="preserve">0.5</w:t>
      </w:r>
      <w:r w:rsidDel="00000000" w:rsidR="00000000" w:rsidRPr="00000000">
        <w:rPr>
          <w:rtl w:val="0"/>
        </w:rPr>
        <w:t xml:space="preserve">, and </w:t>
      </w:r>
      <w:r w:rsidDel="00000000" w:rsidR="00000000" w:rsidRPr="00000000">
        <w:rPr>
          <w:rtl w:val="0"/>
        </w:rPr>
        <w:t xml:space="preserve">0.7 (Table S1)</w:t>
      </w:r>
      <w:r w:rsidDel="00000000" w:rsidR="00000000" w:rsidRPr="00000000">
        <w:rPr>
          <w:rtl w:val="0"/>
        </w:rPr>
        <w:t xml:space="preserve">. For each cutoff, we determined the percent of sampling height pairs retained, the level of sign agreement, mean and absolute flux bias, the correlation, and the root mean square error (RMSE) between GFs and EC . The lower threshold (</w:t>
      </w:r>
      <w:r w:rsidDel="00000000" w:rsidR="00000000" w:rsidRPr="00000000">
        <w:rPr>
          <w:rtl w:val="0"/>
        </w:rPr>
        <w:t xml:space="preserve">CCC &gt;= 0.3</w:t>
      </w:r>
      <w:r w:rsidDel="00000000" w:rsidR="00000000" w:rsidRPr="00000000">
        <w:rPr>
          <w:rtl w:val="0"/>
        </w:rPr>
        <w:t xml:space="preserve">) was a permissive screen emphasizing directional consistency, the upper threshold (</w:t>
      </w:r>
      <w:r w:rsidDel="00000000" w:rsidR="00000000" w:rsidRPr="00000000">
        <w:rPr>
          <w:rtl w:val="0"/>
        </w:rPr>
        <w:t xml:space="preserve">CCC &gt;= 0.7</w:t>
      </w:r>
      <w:r w:rsidDel="00000000" w:rsidR="00000000" w:rsidRPr="00000000">
        <w:rPr>
          <w:rtl w:val="0"/>
        </w:rPr>
        <w:t xml:space="preserve">) as a conservative screen favoring low bias, and the intermediate threshold (</w:t>
      </w:r>
      <w:r w:rsidDel="00000000" w:rsidR="00000000" w:rsidRPr="00000000">
        <w:rPr>
          <w:rtl w:val="0"/>
        </w:rPr>
        <w:t xml:space="preserve">CCC &gt;= 0.5</w:t>
      </w:r>
      <w:r w:rsidDel="00000000" w:rsidR="00000000" w:rsidRPr="00000000">
        <w:rPr>
          <w:rtl w:val="0"/>
        </w:rPr>
        <w:t xml:space="preserve">) as a candidate balance point. We then selected the threshold that provided the strongest tradeoff between retaining enough sampling-height pairs for analysis and achieving sufficiently strong flux concordance with EC. Based on this comparison, </w:t>
      </w:r>
      <w:r w:rsidDel="00000000" w:rsidR="00000000" w:rsidRPr="00000000">
        <w:rPr>
          <w:rtl w:val="0"/>
        </w:rPr>
        <w:t xml:space="preserve">CCC &gt;= 0.5</w:t>
      </w:r>
      <w:r w:rsidDel="00000000" w:rsidR="00000000" w:rsidRPr="00000000">
        <w:rPr>
          <w:rtl w:val="0"/>
        </w:rPr>
        <w:t xml:space="preserve"> was retained as the primary operational threshold for moderate agreement </w:t>
      </w:r>
      <w:hyperlink r:id="rId73">
        <w:r w:rsidDel="00000000" w:rsidR="00000000" w:rsidRPr="00000000">
          <w:rPr>
            <w:rtl w:val="0"/>
          </w:rPr>
          <w:t xml:space="preserve">(Landis and Koch, 1977)</w:t>
        </w:r>
      </w:hyperlink>
      <w:r w:rsidDel="00000000" w:rsidR="00000000" w:rsidRPr="00000000">
        <w:rPr>
          <w:rtl w:val="0"/>
        </w:rPr>
        <w:t xml:space="preserve"> between EC and GF, balancing concordance with data loss. </w:t>
      </w:r>
      <w:r w:rsidDel="00000000" w:rsidR="00000000" w:rsidRPr="00000000">
        <w:rPr>
          <w:rtl w:val="0"/>
        </w:rPr>
        <w:t xml:space="preserve">After calculating the CCC based on EC and filtering the CCC (EC) values below the threshold, we examined the remaining data to assess the amount of information retained. </w:t>
      </w:r>
    </w:p>
    <w:p w:rsidR="00000000" w:rsidDel="00000000" w:rsidP="00000000" w:rsidRDefault="00000000" w:rsidRPr="00000000" w14:paraId="00000080">
      <w:pPr>
        <w:spacing w:line="240" w:lineRule="auto"/>
        <w:ind w:firstLine="720"/>
        <w:rPr/>
      </w:pPr>
      <w:r w:rsidDel="00000000" w:rsidR="00000000" w:rsidRPr="00000000">
        <w:rPr>
          <w:rtl w:val="0"/>
        </w:rPr>
      </w:r>
    </w:p>
    <w:p w:rsidR="00000000" w:rsidDel="00000000" w:rsidP="00000000" w:rsidRDefault="00000000" w:rsidRPr="00000000" w14:paraId="00000081">
      <w:pPr>
        <w:spacing w:line="240" w:lineRule="auto"/>
        <w:ind w:left="0" w:firstLine="0"/>
        <w:rPr>
          <w:i w:val="1"/>
          <w:iCs w:val="1"/>
        </w:rPr>
      </w:pPr>
      <w:r w:rsidDel="00000000" w:rsidR="00000000" w:rsidRPr="00000000">
        <w:rPr>
          <w:i w:val="1"/>
          <w:iCs w:val="1"/>
          <w:rtl w:val="0"/>
        </w:rPr>
        <w:t xml:space="preserve">2.7. Canopy Influence on Reliable Sampling Height Pairs</w:t>
      </w:r>
    </w:p>
    <w:p w:rsidR="00000000" w:rsidDel="00000000" w:rsidP="00000000" w:rsidRDefault="00000000" w:rsidRPr="00000000" w14:paraId="00000082">
      <w:pPr>
        <w:spacing w:line="240" w:lineRule="auto"/>
        <w:ind w:left="0" w:firstLine="0"/>
        <w:rPr>
          <w:i w:val="1"/>
          <w:iCs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explored how canopy characteristics (Table 3) affect GF reliability across different sampling height pairs. Based on the CCC (EC), we identified reliable/non-reliable sampling height pairs at each tower site. Next, we gathered canopy-structure information for each site from the NEON Airborne Observation Platform (AOP) data and the 30 m NEON structural diversity dataset, which were derived from the NEON AOP Discrete Return LiDAR point cloud product </w:t>
      </w:r>
      <w:hyperlink r:id="rId74">
        <w:r w:rsidDel="00000000" w:rsidR="00000000" w:rsidRPr="00000000">
          <w:rPr>
            <w:b w:val="0"/>
            <w:bCs w:val="0"/>
            <w:color w:val="000000"/>
            <w:u w:val="none"/>
            <w:rtl w:val="0"/>
          </w:rPr>
          <w:t xml:space="preserve">(Wang et al., 2024)</w:t>
        </w:r>
      </w:hyperlink>
      <w:r w:rsidDel="00000000" w:rsidR="00000000" w:rsidRPr="00000000">
        <w:rPr>
          <w:highlight w:val="white"/>
          <w:rtl w:val="0"/>
        </w:rPr>
        <w:t xml:space="preserve">.</w:t>
      </w:r>
      <w:r w:rsidDel="00000000" w:rsidR="00000000" w:rsidRPr="00000000">
        <w:rPr>
          <w:rtl w:val="0"/>
        </w:rPr>
        <w:t xml:space="preserve"> A machine learning approach was employed to assess the impact of canopy structure and function on the reliability of sampling height pairs. First, data were divided into training (65%) and testing (35%) sets using stratified random sampling to maintain the distribution across all variables. A preliminary step included variable selection (Table 3). We fit random forest (RF) models using a series of candidate independent variable subsets, employing a modified backward elimination procedure with the VSURF package in R </w:t>
      </w:r>
      <w:hyperlink r:id="rId75">
        <w:r w:rsidDel="00000000" w:rsidR="00000000" w:rsidRPr="00000000">
          <w:rPr>
            <w:b w:val="0"/>
            <w:bCs w:val="0"/>
            <w:color w:val="000000"/>
            <w:u w:val="none"/>
            <w:rtl w:val="0"/>
          </w:rPr>
          <w:t xml:space="preserve">(Genuer et al., 2015)</w:t>
        </w:r>
      </w:hyperlink>
      <w:r w:rsidDel="00000000" w:rsidR="00000000" w:rsidRPr="00000000">
        <w:rPr>
          <w:rtl w:val="0"/>
        </w:rPr>
        <w:t xml:space="preserve">. The fit of each model was evaluated using the out-of-bag mean square error (OOB MSE), and variable importance was computed as the increase in prediction error resulting from permuting a particular predictor. While random forest models are robust to multicollinearity </w:t>
      </w:r>
      <w:hyperlink r:id="rId76">
        <w:r w:rsidDel="00000000" w:rsidR="00000000" w:rsidRPr="00000000">
          <w:rPr>
            <w:b w:val="0"/>
            <w:bCs w:val="0"/>
            <w:color w:val="000000"/>
            <w:u w:val="none"/>
            <w:rtl w:val="0"/>
          </w:rPr>
          <w:t xml:space="preserve">(Genuer et al., 2015)</w:t>
        </w:r>
      </w:hyperlink>
      <w:r w:rsidDel="00000000" w:rsidR="00000000" w:rsidRPr="00000000">
        <w:rPr>
          <w:rtl w:val="0"/>
        </w:rPr>
        <w:t xml:space="preserve">, we limited the inclusion of highly corr</w:t>
      </w:r>
      <w:r w:rsidDel="00000000" w:rsidR="00000000" w:rsidRPr="00000000">
        <w:rPr>
          <w:rtl w:val="0"/>
        </w:rPr>
        <w:t xml:space="preserve">elated variables to ensure that each variable in the final model improved model fit and did not affect other variables. Following variable selection, we fit a</w:t>
      </w:r>
      <w:r w:rsidDel="00000000" w:rsidR="00000000" w:rsidRPr="00000000">
        <w:rPr>
          <w:rtl w:val="0"/>
        </w:rPr>
        <w:t xml:space="preserve"> final model using the randomForest package </w:t>
      </w:r>
      <w:hyperlink r:id="rId77">
        <w:r w:rsidDel="00000000" w:rsidR="00000000" w:rsidRPr="00000000">
          <w:rPr>
            <w:rtl w:val="0"/>
          </w:rPr>
          <w:t xml:space="preserve">(Liaw and Wiener, 2002; R Core Team, 2021)</w:t>
        </w:r>
      </w:hyperlink>
      <w:r w:rsidDel="00000000" w:rsidR="00000000" w:rsidRPr="00000000">
        <w:rPr>
          <w:rtl w:val="0"/>
        </w:rPr>
        <w:t xml:space="preserve">. Each tree was built from a balanced bootstrap sample with 305 observations from sampling height pairs where CCC &lt; 0.5 and 305 where sampling height pair CCC &gt; 0.5, instead of sampling in proportion class imbalances in the data. Model fit was evaluated using the average of the 500 out-of-bag (OOB) mean squared errors (MSEs) from the final model, and variable importance was calculated as the average rank of each predictor variable across the 500 models. W</w:t>
      </w:r>
      <w:r w:rsidDel="00000000" w:rsidR="00000000" w:rsidRPr="00000000">
        <w:rPr>
          <w:rtl w:val="0"/>
        </w:rPr>
        <w:t xml:space="preserve">e explored the confusion matrix and the n</w:t>
      </w:r>
      <w:r w:rsidDel="00000000" w:rsidR="00000000" w:rsidRPr="00000000">
        <w:rPr>
          <w:rtl w:val="0"/>
        </w:rPr>
        <w:t xml:space="preserve">o-information rate</w:t>
      </w:r>
      <w:r w:rsidDel="00000000" w:rsidR="00000000" w:rsidRPr="00000000">
        <w:rPr>
          <w:rtl w:val="0"/>
        </w:rPr>
        <w:t xml:space="preserve">, which represents the accuracy you would achieve by always predicting the most frequent class, without using a model. We compared model accuracy to the no information rate to evaluate model performance.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0" w:before="240" w:lineRule="auto"/>
        <w:ind w:firstLine="0"/>
        <w:rPr/>
      </w:pPr>
      <w:r w:rsidDel="00000000" w:rsidR="00000000" w:rsidRPr="00000000">
        <w:rPr>
          <w:rtl w:val="0"/>
        </w:rPr>
        <w:t xml:space="preserve">Table 3. Explored drivers of reliable sampling height pairs across NEON towers, including canopy attributes </w:t>
      </w:r>
      <w:hyperlink r:id="rId78">
        <w:r w:rsidDel="00000000" w:rsidR="00000000" w:rsidRPr="00000000">
          <w:rPr>
            <w:b w:val="0"/>
            <w:bCs w:val="0"/>
            <w:color w:val="000000"/>
            <w:u w:val="none"/>
            <w:rtl w:val="0"/>
          </w:rPr>
          <w:t xml:space="preserve">(Wang et al., 2024)</w:t>
        </w:r>
      </w:hyperlink>
      <w:r w:rsidDel="00000000" w:rsidR="00000000" w:rsidRPr="00000000">
        <w:rPr>
          <w:rtl w:val="0"/>
        </w:rPr>
        <w:t xml:space="preserve"> that quantify measures of complexity and measurement height relative to the mean canopy height.</w:t>
      </w:r>
    </w:p>
    <w:tbl>
      <w:tblPr>
        <w:tblStyle w:val="Table3"/>
        <w:tblW w:w="9000.0" w:type="dxa"/>
        <w:jc w:val="left"/>
        <w:tblBorders>
          <w:top w:color="d5d5d5" w:space="0" w:sz="12" w:val="single"/>
          <w:left w:color="d5d5d5" w:space="0" w:sz="12" w:val="single"/>
          <w:bottom w:color="d5d5d5" w:space="0" w:sz="12" w:val="single"/>
          <w:right w:color="d5d5d5" w:space="0" w:sz="12" w:val="single"/>
          <w:insideH w:color="d5d5d5" w:space="0" w:sz="12" w:val="single"/>
          <w:insideV w:color="d5d5d5" w:space="0" w:sz="12" w:val="single"/>
        </w:tblBorders>
        <w:tblLayout w:type="fixed"/>
        <w:tblLook w:val="0600"/>
      </w:tblPr>
      <w:tblGrid>
        <w:gridCol w:w="1110"/>
        <w:gridCol w:w="3045"/>
        <w:gridCol w:w="3990"/>
        <w:gridCol w:w="855"/>
        <w:tblGridChange w:id="0">
          <w:tblGrid>
            <w:gridCol w:w="1110"/>
            <w:gridCol w:w="3045"/>
            <w:gridCol w:w="3990"/>
            <w:gridCol w:w="85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eeeee" w:val="clear"/>
            <w:tcMar>
              <w:top w:w="0.0" w:type="dxa"/>
              <w:left w:w="0.0" w:type="dxa"/>
              <w:bottom w:w="0.0" w:type="dxa"/>
              <w:right w:w="0.0" w:type="dxa"/>
            </w:tcMar>
            <w:vAlign w:val="top"/>
          </w:tcPr>
          <w:p w:rsidR="00000000" w:rsidDel="00000000" w:rsidP="00000000" w:rsidRDefault="00000000" w:rsidRPr="00000000" w14:paraId="00000086">
            <w:pPr>
              <w:ind w:left="90" w:firstLine="0"/>
              <w:rPr>
                <w:b w:val="1"/>
                <w:bCs w:val="1"/>
                <w:color w:val="222222"/>
                <w:sz w:val="18"/>
                <w:szCs w:val="18"/>
              </w:rPr>
            </w:pPr>
            <w:r w:rsidDel="00000000" w:rsidR="00000000" w:rsidRPr="00000000">
              <w:rPr>
                <w:b w:val="1"/>
                <w:bCs w:val="1"/>
                <w:color w:val="222222"/>
                <w:sz w:val="18"/>
                <w:szCs w:val="18"/>
                <w:rtl w:val="0"/>
              </w:rPr>
              <w:t xml:space="preserve">Category</w:t>
            </w:r>
          </w:p>
        </w:tc>
        <w:tc>
          <w:tcPr>
            <w:tcBorders>
              <w:top w:color="cccccc" w:space="0" w:sz="8" w:val="single"/>
              <w:left w:color="cccccc" w:space="0" w:sz="8" w:val="single"/>
              <w:bottom w:color="cccccc" w:space="0" w:sz="8" w:val="single"/>
              <w:right w:color="cccccc" w:space="0" w:sz="8" w:val="single"/>
            </w:tcBorders>
            <w:shd w:fill="eeeeee" w:val="clear"/>
            <w:tcMar>
              <w:top w:w="0.0" w:type="dxa"/>
              <w:left w:w="0.0" w:type="dxa"/>
              <w:bottom w:w="0.0" w:type="dxa"/>
              <w:right w:w="0.0" w:type="dxa"/>
            </w:tcMar>
            <w:vAlign w:val="top"/>
          </w:tcPr>
          <w:p w:rsidR="00000000" w:rsidDel="00000000" w:rsidP="00000000" w:rsidRDefault="00000000" w:rsidRPr="00000000" w14:paraId="00000087">
            <w:pPr>
              <w:ind w:left="90" w:firstLine="0"/>
              <w:rPr>
                <w:b w:val="1"/>
                <w:bCs w:val="1"/>
                <w:color w:val="222222"/>
                <w:sz w:val="18"/>
                <w:szCs w:val="18"/>
              </w:rPr>
            </w:pPr>
            <w:r w:rsidDel="00000000" w:rsidR="00000000" w:rsidRPr="00000000">
              <w:rPr>
                <w:b w:val="1"/>
                <w:bCs w:val="1"/>
                <w:color w:val="222222"/>
                <w:sz w:val="18"/>
                <w:szCs w:val="18"/>
                <w:rtl w:val="0"/>
              </w:rPr>
              <w:t xml:space="preserve">Metrics</w:t>
            </w:r>
          </w:p>
        </w:tc>
        <w:tc>
          <w:tcPr>
            <w:tcBorders>
              <w:top w:color="cccccc" w:space="0" w:sz="8" w:val="single"/>
              <w:left w:color="cccccc" w:space="0" w:sz="8" w:val="single"/>
              <w:bottom w:color="cccccc" w:space="0" w:sz="8" w:val="single"/>
              <w:right w:color="cccccc" w:space="0" w:sz="8" w:val="single"/>
            </w:tcBorders>
            <w:shd w:fill="eeeeee" w:val="clear"/>
            <w:tcMar>
              <w:top w:w="0.0" w:type="dxa"/>
              <w:left w:w="0.0" w:type="dxa"/>
              <w:bottom w:w="0.0" w:type="dxa"/>
              <w:right w:w="0.0" w:type="dxa"/>
            </w:tcMar>
            <w:vAlign w:val="top"/>
          </w:tcPr>
          <w:p w:rsidR="00000000" w:rsidDel="00000000" w:rsidP="00000000" w:rsidRDefault="00000000" w:rsidRPr="00000000" w14:paraId="00000088">
            <w:pPr>
              <w:ind w:left="90" w:firstLine="0"/>
              <w:rPr>
                <w:b w:val="1"/>
                <w:bCs w:val="1"/>
                <w:color w:val="222222"/>
                <w:sz w:val="18"/>
                <w:szCs w:val="18"/>
              </w:rPr>
            </w:pPr>
            <w:r w:rsidDel="00000000" w:rsidR="00000000" w:rsidRPr="00000000">
              <w:rPr>
                <w:b w:val="1"/>
                <w:bCs w:val="1"/>
                <w:color w:val="222222"/>
                <w:sz w:val="18"/>
                <w:szCs w:val="18"/>
                <w:rtl w:val="0"/>
              </w:rPr>
              <w:t xml:space="preserve">Description</w:t>
            </w:r>
          </w:p>
        </w:tc>
        <w:tc>
          <w:tcPr>
            <w:tcBorders>
              <w:top w:color="cccccc" w:space="0" w:sz="8" w:val="single"/>
              <w:left w:color="cccccc" w:space="0" w:sz="8" w:val="single"/>
              <w:bottom w:color="cccccc" w:space="0" w:sz="8" w:val="single"/>
              <w:right w:color="cccccc" w:space="0" w:sz="8" w:val="single"/>
            </w:tcBorders>
            <w:shd w:fill="eeeeee" w:val="clear"/>
            <w:tcMar>
              <w:top w:w="0.0" w:type="dxa"/>
              <w:left w:w="0.0" w:type="dxa"/>
              <w:bottom w:w="0.0" w:type="dxa"/>
              <w:right w:w="0.0" w:type="dxa"/>
            </w:tcMar>
            <w:vAlign w:val="top"/>
          </w:tcPr>
          <w:p w:rsidR="00000000" w:rsidDel="00000000" w:rsidP="00000000" w:rsidRDefault="00000000" w:rsidRPr="00000000" w14:paraId="00000089">
            <w:pPr>
              <w:ind w:left="90" w:firstLine="0"/>
              <w:rPr>
                <w:b w:val="1"/>
                <w:bCs w:val="1"/>
                <w:color w:val="222222"/>
                <w:sz w:val="18"/>
                <w:szCs w:val="18"/>
              </w:rPr>
            </w:pPr>
            <w:r w:rsidDel="00000000" w:rsidR="00000000" w:rsidRPr="00000000">
              <w:rPr>
                <w:b w:val="1"/>
                <w:bCs w:val="1"/>
                <w:color w:val="222222"/>
                <w:sz w:val="18"/>
                <w:szCs w:val="18"/>
                <w:rtl w:val="0"/>
              </w:rPr>
              <w:t xml:space="preserve">Unit</w:t>
            </w:r>
          </w:p>
        </w:tc>
      </w:tr>
      <w:tr>
        <w:trPr>
          <w:cantSplit w:val="0"/>
          <w:trHeight w:val="225" w:hRule="atLeast"/>
          <w:tblHeader w:val="0"/>
        </w:trPr>
        <w:tc>
          <w:tcPr>
            <w:tcBorders>
              <w:top w:color="cccccc" w:space="0" w:sz="8" w:val="single"/>
              <w:left w:color="cccccc" w:space="0" w:sz="8" w:val="single"/>
              <w:bottom w:color="000000" w:space="0" w:sz="0" w:val="nil"/>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A">
            <w:pPr>
              <w:ind w:left="90" w:firstLine="0"/>
              <w:rPr>
                <w:color w:val="222222"/>
                <w:sz w:val="18"/>
                <w:szCs w:val="18"/>
              </w:rPr>
            </w:pPr>
            <w:r w:rsidDel="00000000" w:rsidR="00000000" w:rsidRPr="00000000">
              <w:rPr>
                <w:color w:val="222222"/>
                <w:sz w:val="18"/>
                <w:szCs w:val="18"/>
                <w:rtl w:val="0"/>
              </w:rPr>
              <w:t xml:space="preserve">Height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B">
            <w:pPr>
              <w:ind w:left="90" w:firstLine="0"/>
              <w:rPr>
                <w:color w:val="222222"/>
                <w:sz w:val="18"/>
                <w:szCs w:val="18"/>
              </w:rPr>
            </w:pPr>
            <w:r w:rsidDel="00000000" w:rsidR="00000000" w:rsidRPr="00000000">
              <w:rPr>
                <w:color w:val="222222"/>
                <w:sz w:val="18"/>
                <w:szCs w:val="18"/>
                <w:rtl w:val="0"/>
              </w:rPr>
              <w:t xml:space="preserve">Mean Canopy Height (MCH)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C">
            <w:pPr>
              <w:ind w:left="90" w:firstLine="0"/>
              <w:rPr>
                <w:color w:val="222222"/>
                <w:sz w:val="18"/>
                <w:szCs w:val="18"/>
              </w:rPr>
            </w:pPr>
            <w:r w:rsidDel="00000000" w:rsidR="00000000" w:rsidRPr="00000000">
              <w:rPr>
                <w:color w:val="222222"/>
                <w:sz w:val="18"/>
                <w:szCs w:val="18"/>
                <w:rtl w:val="0"/>
              </w:rPr>
              <w:t xml:space="preserve">Mean of maximum height in a 1 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grid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D">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12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E">
            <w:pPr>
              <w:ind w:left="90" w:firstLine="0"/>
              <w:rPr>
                <w:color w:val="222222"/>
                <w:sz w:val="18"/>
                <w:szCs w:val="18"/>
              </w:rPr>
            </w:pPr>
            <w:r w:rsidDel="00000000" w:rsidR="00000000" w:rsidRPr="00000000">
              <w:rPr>
                <w:color w:val="222222"/>
                <w:sz w:val="18"/>
                <w:szCs w:val="18"/>
                <w:rtl w:val="0"/>
              </w:rPr>
              <w:t xml:space="preserve">Density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F">
            <w:pPr>
              <w:ind w:left="90" w:firstLine="0"/>
              <w:rPr>
                <w:color w:val="222222"/>
                <w:sz w:val="23"/>
                <w:szCs w:val="23"/>
              </w:rPr>
            </w:pPr>
            <w:r w:rsidDel="00000000" w:rsidR="00000000" w:rsidRPr="00000000">
              <w:rPr>
                <w:color w:val="222222"/>
                <w:sz w:val="18"/>
                <w:szCs w:val="18"/>
                <w:rtl w:val="0"/>
              </w:rPr>
              <w:t xml:space="preserve">Vegetation Area Index (VAI)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0">
            <w:pPr>
              <w:ind w:left="90" w:firstLine="0"/>
              <w:rPr>
                <w:color w:val="222222"/>
                <w:sz w:val="18"/>
                <w:szCs w:val="18"/>
              </w:rPr>
            </w:pPr>
            <w:r w:rsidDel="00000000" w:rsidR="00000000" w:rsidRPr="00000000">
              <w:rPr>
                <w:color w:val="222222"/>
                <w:sz w:val="18"/>
                <w:szCs w:val="18"/>
                <w:rtl w:val="0"/>
              </w:rPr>
              <w:t xml:space="preserve">Vegetation area per unit of ground area</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1">
            <w:pPr>
              <w:ind w:left="90" w:firstLine="0"/>
              <w:rPr>
                <w:color w:val="222222"/>
                <w:sz w:val="23"/>
                <w:szCs w:val="23"/>
              </w:rPr>
            </w:pPr>
            <w:r w:rsidDel="00000000" w:rsidR="00000000" w:rsidRPr="00000000">
              <w:rPr>
                <w:color w:val="222222"/>
                <w:sz w:val="18"/>
                <w:szCs w:val="18"/>
                <w:rtl w:val="0"/>
              </w:rPr>
              <w:t xml:space="preserve">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m</w:t>
            </w:r>
            <w:r w:rsidDel="00000000" w:rsidR="00000000" w:rsidRPr="00000000">
              <w:rPr>
                <w:color w:val="222222"/>
                <w:sz w:val="18"/>
                <w:szCs w:val="18"/>
                <w:vertAlign w:val="superscript"/>
                <w:rtl w:val="0"/>
              </w:rPr>
              <w:t xml:space="preserve">-2</w:t>
            </w:r>
            <w:r w:rsidDel="00000000" w:rsidR="00000000" w:rsidRPr="00000000">
              <w:rPr>
                <w:rtl w:val="0"/>
              </w:rPr>
            </w:r>
          </w:p>
        </w:tc>
      </w:tr>
      <w:tr>
        <w:trPr>
          <w:cantSplit w:val="0"/>
          <w:tblHeader w:val="0"/>
        </w:trPr>
        <w:tc>
          <w:tcPr>
            <w:tcBorders>
              <w:top w:color="cccccc" w:space="0" w:sz="8" w:val="single"/>
              <w:left w:color="cccccc" w:space="0" w:sz="8" w:val="single"/>
              <w:bottom w:color="000000" w:space="0" w:sz="0" w:val="nil"/>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2">
            <w:pPr>
              <w:ind w:left="90" w:firstLine="0"/>
              <w:rPr>
                <w:color w:val="222222"/>
                <w:sz w:val="18"/>
                <w:szCs w:val="18"/>
              </w:rPr>
            </w:pPr>
            <w:r w:rsidDel="00000000" w:rsidR="00000000" w:rsidRPr="00000000">
              <w:rPr>
                <w:color w:val="222222"/>
                <w:sz w:val="18"/>
                <w:szCs w:val="18"/>
                <w:rtl w:val="0"/>
              </w:rPr>
              <w:t xml:space="preserve">Openness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3">
            <w:pPr>
              <w:ind w:left="90" w:firstLine="0"/>
              <w:rPr>
                <w:color w:val="222222"/>
                <w:sz w:val="23"/>
                <w:szCs w:val="23"/>
              </w:rPr>
            </w:pPr>
            <w:r w:rsidDel="00000000" w:rsidR="00000000" w:rsidRPr="00000000">
              <w:rPr>
                <w:color w:val="222222"/>
                <w:sz w:val="18"/>
                <w:szCs w:val="18"/>
                <w:rtl w:val="0"/>
              </w:rPr>
              <w:t xml:space="preserve">Deep Gap Fraction (DGF)</w:t>
            </w:r>
            <w:r w:rsidDel="00000000" w:rsidR="00000000" w:rsidRPr="00000000">
              <w:rPr>
                <w:color w:val="222222"/>
                <w:sz w:val="23"/>
                <w:szCs w:val="23"/>
                <w:rtl w:val="0"/>
              </w:rPr>
              <w:t xml:space="preserve">a</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4">
            <w:pPr>
              <w:ind w:left="90" w:firstLine="0"/>
              <w:rPr>
                <w:color w:val="222222"/>
                <w:sz w:val="18"/>
                <w:szCs w:val="18"/>
              </w:rPr>
            </w:pPr>
            <w:r w:rsidDel="00000000" w:rsidR="00000000" w:rsidRPr="00000000">
              <w:rPr>
                <w:color w:val="222222"/>
                <w:sz w:val="18"/>
                <w:szCs w:val="18"/>
                <w:rtl w:val="0"/>
              </w:rPr>
              <w:t xml:space="preserve">Fraction of 1m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canopy gaps in the plot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5">
            <w:pPr>
              <w:ind w:left="90" w:firstLine="0"/>
              <w:rPr>
                <w:color w:val="222222"/>
                <w:sz w:val="18"/>
                <w:szCs w:val="18"/>
              </w:rPr>
            </w:pPr>
            <w:r w:rsidDel="00000000" w:rsidR="00000000" w:rsidRPr="00000000">
              <w:rPr>
                <w:color w:val="222222"/>
                <w:sz w:val="18"/>
                <w:szCs w:val="18"/>
                <w:rtl w:val="0"/>
              </w:rPr>
              <w:t xml:space="preserve">1</w:t>
            </w:r>
          </w:p>
        </w:tc>
      </w:tr>
      <w:tr>
        <w:trPr>
          <w:cantSplit w:val="0"/>
          <w:trHeight w:val="180" w:hRule="atLeast"/>
          <w:tblHeader w:val="0"/>
        </w:trPr>
        <w:tc>
          <w:tcPr>
            <w:vMerge w:val="restart"/>
            <w:tcBorders>
              <w:top w:color="cccccc" w:space="0" w:sz="8" w:val="single"/>
              <w:left w:color="cccccc" w:space="0" w:sz="8" w:val="single"/>
              <w:bottom w:color="000000" w:space="0" w:sz="0" w:val="nil"/>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6">
            <w:pPr>
              <w:ind w:left="90" w:firstLine="0"/>
              <w:rPr>
                <w:color w:val="222222"/>
                <w:sz w:val="18"/>
                <w:szCs w:val="18"/>
              </w:rPr>
            </w:pPr>
            <w:r w:rsidDel="00000000" w:rsidR="00000000" w:rsidRPr="00000000">
              <w:rPr>
                <w:color w:val="222222"/>
                <w:sz w:val="18"/>
                <w:szCs w:val="18"/>
                <w:rtl w:val="0"/>
              </w:rPr>
              <w:t xml:space="preserve">Exterior Complexity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7">
            <w:pPr>
              <w:ind w:left="90" w:firstLine="0"/>
              <w:rPr>
                <w:color w:val="222222"/>
                <w:sz w:val="18"/>
                <w:szCs w:val="18"/>
              </w:rPr>
            </w:pPr>
            <w:r w:rsidDel="00000000" w:rsidR="00000000" w:rsidRPr="00000000">
              <w:rPr>
                <w:color w:val="222222"/>
                <w:sz w:val="18"/>
                <w:szCs w:val="18"/>
                <w:rtl w:val="0"/>
              </w:rPr>
              <w:t xml:space="preserve">Top Rugosity (TopRugosity)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8">
            <w:pPr>
              <w:ind w:left="90" w:firstLine="0"/>
              <w:rPr>
                <w:color w:val="222222"/>
                <w:sz w:val="18"/>
                <w:szCs w:val="18"/>
              </w:rPr>
            </w:pPr>
            <w:r w:rsidDel="00000000" w:rsidR="00000000" w:rsidRPr="00000000">
              <w:rPr>
                <w:color w:val="222222"/>
                <w:sz w:val="18"/>
                <w:szCs w:val="18"/>
                <w:rtl w:val="0"/>
              </w:rPr>
              <w:t xml:space="preserve">Standard deviation of outer canopy heights in 1 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of plot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9">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135"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A">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B">
            <w:pPr>
              <w:ind w:left="90" w:firstLine="0"/>
              <w:rPr>
                <w:color w:val="222222"/>
                <w:sz w:val="23"/>
                <w:szCs w:val="23"/>
              </w:rPr>
            </w:pPr>
            <w:r w:rsidDel="00000000" w:rsidR="00000000" w:rsidRPr="00000000">
              <w:rPr>
                <w:color w:val="222222"/>
                <w:sz w:val="18"/>
                <w:szCs w:val="18"/>
                <w:rtl w:val="0"/>
              </w:rPr>
              <w:t xml:space="preserve">Rumple Index (RumpleIndex)</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C">
            <w:pPr>
              <w:ind w:left="90" w:firstLine="0"/>
              <w:rPr>
                <w:color w:val="222222"/>
                <w:sz w:val="18"/>
                <w:szCs w:val="18"/>
              </w:rPr>
            </w:pPr>
            <w:r w:rsidDel="00000000" w:rsidR="00000000" w:rsidRPr="00000000">
              <w:rPr>
                <w:color w:val="222222"/>
                <w:sz w:val="18"/>
                <w:szCs w:val="18"/>
                <w:rtl w:val="0"/>
              </w:rPr>
              <w:t xml:space="preserve">Ratio between the canopy surface area and its projected area on the ground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D">
            <w:pPr>
              <w:ind w:left="90" w:firstLine="0"/>
              <w:rPr>
                <w:color w:val="222222"/>
                <w:sz w:val="23"/>
                <w:szCs w:val="23"/>
              </w:rPr>
            </w:pPr>
            <w:r w:rsidDel="00000000" w:rsidR="00000000" w:rsidRPr="00000000">
              <w:rPr>
                <w:color w:val="222222"/>
                <w:sz w:val="18"/>
                <w:szCs w:val="18"/>
                <w:rtl w:val="0"/>
              </w:rPr>
              <w:t xml:space="preserve">m</w:t>
            </w:r>
            <w:r w:rsidDel="00000000" w:rsidR="00000000" w:rsidRPr="00000000">
              <w:rPr>
                <w:color w:val="222222"/>
                <w:sz w:val="18"/>
                <w:szCs w:val="18"/>
                <w:vertAlign w:val="superscript"/>
                <w:rtl w:val="0"/>
              </w:rPr>
              <w:t xml:space="preserve">2</w:t>
            </w:r>
            <w:r w:rsidDel="00000000" w:rsidR="00000000" w:rsidRPr="00000000">
              <w:rPr>
                <w:color w:val="222222"/>
                <w:sz w:val="18"/>
                <w:szCs w:val="18"/>
                <w:rtl w:val="0"/>
              </w:rPr>
              <w:t xml:space="preserve"> m</w:t>
            </w:r>
            <w:r w:rsidDel="00000000" w:rsidR="00000000" w:rsidRPr="00000000">
              <w:rPr>
                <w:color w:val="222222"/>
                <w:sz w:val="18"/>
                <w:szCs w:val="18"/>
                <w:vertAlign w:val="superscript"/>
                <w:rtl w:val="0"/>
              </w:rPr>
              <w:t xml:space="preserve">-2</w:t>
            </w:r>
            <w:r w:rsidDel="00000000" w:rsidR="00000000" w:rsidRPr="00000000">
              <w:rPr>
                <w:rtl w:val="0"/>
              </w:rPr>
            </w:r>
          </w:p>
        </w:tc>
      </w:tr>
      <w:tr>
        <w:trPr>
          <w:cantSplit w:val="0"/>
          <w:trHeight w:val="285" w:hRule="atLeast"/>
          <w:tblHeader w:val="0"/>
        </w:trPr>
        <w:tc>
          <w:tcPr>
            <w:vMerge w:val="restart"/>
            <w:tcBorders>
              <w:top w:color="cccccc" w:space="0" w:sz="8" w:val="single"/>
              <w:left w:color="cccccc" w:space="0" w:sz="8" w:val="single"/>
              <w:bottom w:color="000000" w:space="0" w:sz="0" w:val="nil"/>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E">
            <w:pPr>
              <w:ind w:left="90" w:firstLine="0"/>
              <w:rPr>
                <w:color w:val="222222"/>
                <w:sz w:val="18"/>
                <w:szCs w:val="18"/>
              </w:rPr>
            </w:pPr>
            <w:r w:rsidDel="00000000" w:rsidR="00000000" w:rsidRPr="00000000">
              <w:rPr>
                <w:color w:val="222222"/>
                <w:sz w:val="18"/>
                <w:szCs w:val="18"/>
                <w:rtl w:val="0"/>
              </w:rPr>
              <w:t xml:space="preserve">Interior Complexity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F">
            <w:pPr>
              <w:ind w:left="90" w:firstLine="0"/>
              <w:rPr>
                <w:color w:val="222222"/>
                <w:sz w:val="23"/>
                <w:szCs w:val="23"/>
              </w:rPr>
            </w:pPr>
            <w:r w:rsidDel="00000000" w:rsidR="00000000" w:rsidRPr="00000000">
              <w:rPr>
                <w:color w:val="222222"/>
                <w:sz w:val="18"/>
                <w:szCs w:val="18"/>
                <w:rtl w:val="0"/>
              </w:rPr>
              <w:t xml:space="preserve">Gini Coefficient Index (GiniCoeff)</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0">
            <w:pPr>
              <w:ind w:left="90" w:firstLine="0"/>
              <w:rPr>
                <w:color w:val="222222"/>
                <w:sz w:val="18"/>
                <w:szCs w:val="18"/>
              </w:rPr>
            </w:pPr>
            <w:r w:rsidDel="00000000" w:rsidR="00000000" w:rsidRPr="00000000">
              <w:rPr>
                <w:color w:val="222222"/>
                <w:sz w:val="18"/>
                <w:szCs w:val="18"/>
                <w:rtl w:val="0"/>
              </w:rPr>
              <w:t xml:space="preserve">The Gini coefficient of point height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1">
            <w:pPr>
              <w:ind w:left="90" w:firstLine="0"/>
              <w:rPr>
                <w:color w:val="222222"/>
                <w:sz w:val="18"/>
                <w:szCs w:val="18"/>
              </w:rPr>
            </w:pPr>
            <w:r w:rsidDel="00000000" w:rsidR="00000000" w:rsidRPr="00000000">
              <w:rPr>
                <w:color w:val="222222"/>
                <w:sz w:val="18"/>
                <w:szCs w:val="18"/>
                <w:rtl w:val="0"/>
              </w:rPr>
              <w:t xml:space="preserve"> </w:t>
            </w:r>
          </w:p>
        </w:tc>
      </w:tr>
      <w:tr>
        <w:trPr>
          <w:cantSplit w:val="0"/>
          <w:trHeight w:val="375" w:hRule="atLeast"/>
          <w:tblHeader w:val="0"/>
        </w:trPr>
        <w:tc>
          <w:tcPr>
            <w:vMerge w:val="continue"/>
            <w:tcBorders>
              <w:top w:color="000000" w:space="0" w:sz="0" w:val="nil"/>
              <w:left w:color="cccccc" w:space="0" w:sz="8" w:val="single"/>
              <w:bottom w:color="000000" w:space="0" w:sz="0" w:val="nil"/>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2">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3">
            <w:pPr>
              <w:ind w:left="90" w:firstLine="0"/>
              <w:rPr>
                <w:color w:val="222222"/>
                <w:sz w:val="23"/>
                <w:szCs w:val="23"/>
              </w:rPr>
            </w:pPr>
            <w:r w:rsidDel="00000000" w:rsidR="00000000" w:rsidRPr="00000000">
              <w:rPr>
                <w:color w:val="222222"/>
                <w:sz w:val="18"/>
                <w:szCs w:val="18"/>
                <w:rtl w:val="0"/>
              </w:rPr>
              <w:t xml:space="preserve">Foliage Height Diversity (FHD)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4">
            <w:pPr>
              <w:ind w:left="90" w:firstLine="0"/>
              <w:rPr>
                <w:color w:val="222222"/>
                <w:sz w:val="18"/>
                <w:szCs w:val="18"/>
              </w:rPr>
            </w:pPr>
            <w:r w:rsidDel="00000000" w:rsidR="00000000" w:rsidRPr="00000000">
              <w:rPr>
                <w:color w:val="222222"/>
                <w:sz w:val="18"/>
                <w:szCs w:val="18"/>
                <w:rtl w:val="0"/>
              </w:rPr>
              <w:t xml:space="preserve">The distribution of canopy cover among vertical canopy layers is quantified using</w:t>
            </w:r>
            <w:r w:rsidDel="00000000" w:rsidR="00000000" w:rsidRPr="00000000">
              <w:rPr>
                <w:color w:val="222222"/>
                <w:sz w:val="18"/>
                <w:szCs w:val="18"/>
                <w:rtl w:val="0"/>
              </w:rPr>
              <w:t xml:space="preserve"> a diversity index.</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5">
            <w:pPr>
              <w:ind w:left="90" w:firstLine="0"/>
              <w:rPr>
                <w:color w:val="222222"/>
                <w:sz w:val="18"/>
                <w:szCs w:val="18"/>
              </w:rPr>
            </w:pPr>
            <w:r w:rsidDel="00000000" w:rsidR="00000000" w:rsidRPr="00000000">
              <w:rPr>
                <w:color w:val="222222"/>
                <w:sz w:val="18"/>
                <w:szCs w:val="18"/>
                <w:rtl w:val="0"/>
              </w:rPr>
              <w:t xml:space="preserve"> </w:t>
            </w:r>
          </w:p>
        </w:tc>
      </w:tr>
      <w:tr>
        <w:trPr>
          <w:cantSplit w:val="0"/>
          <w:tblHeader w:val="0"/>
        </w:trPr>
        <w:tc>
          <w:tcPr>
            <w:vMerge w:val="continue"/>
            <w:tcBorders>
              <w:top w:color="000000" w:space="0" w:sz="0" w:val="nil"/>
              <w:left w:color="cccccc" w:space="0" w:sz="8" w:val="single"/>
              <w:bottom w:color="000000" w:space="0" w:sz="0" w:val="nil"/>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6">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7">
            <w:pPr>
              <w:ind w:left="90" w:firstLine="0"/>
              <w:rPr>
                <w:color w:val="222222"/>
                <w:sz w:val="18"/>
                <w:szCs w:val="18"/>
              </w:rPr>
            </w:pPr>
            <w:r w:rsidDel="00000000" w:rsidR="00000000" w:rsidRPr="00000000">
              <w:rPr>
                <w:color w:val="222222"/>
                <w:sz w:val="18"/>
                <w:szCs w:val="18"/>
                <w:rtl w:val="0"/>
              </w:rPr>
              <w:t xml:space="preserve">Standard Deviation of Height (SDH)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8">
            <w:pPr>
              <w:ind w:left="90" w:firstLine="0"/>
              <w:rPr>
                <w:color w:val="222222"/>
                <w:sz w:val="18"/>
                <w:szCs w:val="18"/>
              </w:rPr>
            </w:pPr>
            <w:r w:rsidDel="00000000" w:rsidR="00000000" w:rsidRPr="00000000">
              <w:rPr>
                <w:color w:val="222222"/>
                <w:sz w:val="18"/>
                <w:szCs w:val="18"/>
                <w:rtl w:val="0"/>
              </w:rPr>
              <w:t xml:space="preserve">Standard deviation of point height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9">
            <w:pPr>
              <w:ind w:left="90" w:firstLine="0"/>
              <w:rPr>
                <w:color w:val="222222"/>
                <w:sz w:val="18"/>
                <w:szCs w:val="18"/>
              </w:rPr>
            </w:pPr>
            <w:r w:rsidDel="00000000" w:rsidR="00000000" w:rsidRPr="00000000">
              <w:rPr>
                <w:color w:val="222222"/>
                <w:sz w:val="18"/>
                <w:szCs w:val="18"/>
                <w:rtl w:val="0"/>
              </w:rPr>
              <w:t xml:space="preserve">m</w:t>
            </w:r>
          </w:p>
        </w:tc>
      </w:tr>
      <w:tr>
        <w:trPr>
          <w:cantSplit w:val="0"/>
          <w:tblHeader w:val="0"/>
        </w:trPr>
        <w:tc>
          <w:tcPr>
            <w:vMerge w:val="continue"/>
            <w:tcBorders>
              <w:top w:color="000000" w:space="0" w:sz="0" w:val="nil"/>
              <w:left w:color="cccccc" w:space="0" w:sz="8" w:val="single"/>
              <w:bottom w:color="000000" w:space="0" w:sz="0" w:val="nil"/>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A">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B">
            <w:pPr>
              <w:ind w:left="90" w:firstLine="0"/>
              <w:rPr>
                <w:color w:val="222222"/>
                <w:sz w:val="18"/>
                <w:szCs w:val="18"/>
              </w:rPr>
            </w:pPr>
            <w:r w:rsidDel="00000000" w:rsidR="00000000" w:rsidRPr="00000000">
              <w:rPr>
                <w:color w:val="222222"/>
                <w:sz w:val="18"/>
                <w:szCs w:val="18"/>
                <w:rtl w:val="0"/>
              </w:rPr>
              <w:t xml:space="preserve">Mean of Standard Deviation of Height (MSDH)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C">
            <w:pPr>
              <w:ind w:left="90" w:firstLine="0"/>
              <w:rPr>
                <w:color w:val="222222"/>
                <w:sz w:val="18"/>
                <w:szCs w:val="18"/>
              </w:rPr>
            </w:pPr>
            <w:r w:rsidDel="00000000" w:rsidR="00000000" w:rsidRPr="00000000">
              <w:rPr>
                <w:color w:val="222222"/>
                <w:sz w:val="18"/>
                <w:szCs w:val="18"/>
                <w:rtl w:val="0"/>
              </w:rPr>
              <w:t xml:space="preserve">Mean of the standard deviation of the point height in 3 × 3 m grid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D">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435"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E">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AF">
            <w:pPr>
              <w:ind w:left="90" w:firstLine="0"/>
              <w:rPr>
                <w:color w:val="222222"/>
                <w:sz w:val="18"/>
                <w:szCs w:val="18"/>
              </w:rPr>
            </w:pPr>
            <w:r w:rsidDel="00000000" w:rsidR="00000000" w:rsidRPr="00000000">
              <w:rPr>
                <w:color w:val="222222"/>
                <w:sz w:val="18"/>
                <w:szCs w:val="18"/>
                <w:rtl w:val="0"/>
              </w:rPr>
              <w:t xml:space="preserve">Standard Deviation of Standard Deviation of Height (SDSDH)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0">
            <w:pPr>
              <w:ind w:left="90" w:firstLine="0"/>
              <w:rPr>
                <w:color w:val="222222"/>
                <w:sz w:val="18"/>
                <w:szCs w:val="18"/>
              </w:rPr>
            </w:pPr>
            <w:r w:rsidDel="00000000" w:rsidR="00000000" w:rsidRPr="00000000">
              <w:rPr>
                <w:color w:val="222222"/>
                <w:sz w:val="18"/>
                <w:szCs w:val="18"/>
                <w:rtl w:val="0"/>
              </w:rPr>
              <w:t xml:space="preserve">Standard deviation of the standard deviation of height in 3 × 3 m grid</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1">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90" w:hRule="atLeast"/>
          <w:tblHeader w:val="0"/>
        </w:trPr>
        <w:tc>
          <w:tcPr>
            <w:vMerge w:val="restart"/>
            <w:tcBorders>
              <w:top w:color="cccccc" w:space="0" w:sz="8" w:val="single"/>
              <w:left w:color="cccccc" w:space="0" w:sz="8" w:val="single"/>
              <w:bottom w:color="000000" w:space="0" w:sz="0" w:val="nil"/>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2">
            <w:pPr>
              <w:ind w:left="90" w:firstLine="0"/>
              <w:rPr>
                <w:color w:val="222222"/>
                <w:sz w:val="18"/>
                <w:szCs w:val="18"/>
              </w:rPr>
            </w:pPr>
            <w:r w:rsidDel="00000000" w:rsidR="00000000" w:rsidRPr="00000000">
              <w:rPr>
                <w:color w:val="222222"/>
                <w:sz w:val="18"/>
                <w:szCs w:val="18"/>
                <w:rtl w:val="0"/>
              </w:rPr>
              <w:t xml:space="preserve">Ancillary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3">
            <w:pPr>
              <w:ind w:left="90" w:firstLine="0"/>
              <w:rPr>
                <w:color w:val="222222"/>
                <w:sz w:val="23"/>
                <w:szCs w:val="23"/>
              </w:rPr>
            </w:pPr>
            <w:r w:rsidDel="00000000" w:rsidR="00000000" w:rsidRPr="00000000">
              <w:rPr>
                <w:color w:val="222222"/>
                <w:sz w:val="18"/>
                <w:szCs w:val="18"/>
                <w:rtl w:val="0"/>
              </w:rPr>
              <w:t xml:space="preserve">Area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4">
            <w:pPr>
              <w:ind w:left="90" w:firstLine="0"/>
              <w:rPr>
                <w:color w:val="222222"/>
                <w:sz w:val="18"/>
                <w:szCs w:val="18"/>
              </w:rPr>
            </w:pPr>
            <w:r w:rsidDel="00000000" w:rsidR="00000000" w:rsidRPr="00000000">
              <w:rPr>
                <w:color w:val="222222"/>
                <w:sz w:val="18"/>
                <w:szCs w:val="18"/>
                <w:rtl w:val="0"/>
              </w:rPr>
              <w:t xml:space="preserve">Area of the bounding box of points in the NEON AOP Discrete Return LiDAR product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5">
            <w:pPr>
              <w:ind w:left="90" w:firstLine="0"/>
              <w:rPr>
                <w:color w:val="222222"/>
                <w:sz w:val="23"/>
                <w:szCs w:val="23"/>
              </w:rPr>
            </w:pPr>
            <w:r w:rsidDel="00000000" w:rsidR="00000000" w:rsidRPr="00000000">
              <w:rPr>
                <w:color w:val="222222"/>
                <w:sz w:val="18"/>
                <w:szCs w:val="18"/>
                <w:rtl w:val="0"/>
              </w:rPr>
              <w:t xml:space="preserve">m</w:t>
            </w:r>
            <w:r w:rsidDel="00000000" w:rsidR="00000000" w:rsidRPr="00000000">
              <w:rPr>
                <w:color w:val="222222"/>
                <w:sz w:val="18"/>
                <w:szCs w:val="18"/>
                <w:vertAlign w:val="superscript"/>
                <w:rtl w:val="0"/>
              </w:rPr>
              <w:t xml:space="preserve">2</w:t>
            </w:r>
            <w:r w:rsidDel="00000000" w:rsidR="00000000" w:rsidRPr="00000000">
              <w:rPr>
                <w:rtl w:val="0"/>
              </w:rPr>
            </w:r>
          </w:p>
        </w:tc>
      </w:tr>
      <w:tr>
        <w:trPr>
          <w:cantSplit w:val="0"/>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6">
            <w:pPr>
              <w:spacing w:before="240" w:lineRule="auto"/>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7">
            <w:pPr>
              <w:ind w:left="90" w:firstLine="0"/>
              <w:rPr>
                <w:color w:val="222222"/>
                <w:sz w:val="18"/>
                <w:szCs w:val="18"/>
              </w:rPr>
            </w:pPr>
            <w:r w:rsidDel="00000000" w:rsidR="00000000" w:rsidRPr="00000000">
              <w:rPr>
                <w:color w:val="222222"/>
                <w:sz w:val="18"/>
                <w:szCs w:val="18"/>
                <w:rtl w:val="0"/>
              </w:rPr>
              <w:t xml:space="preserve">Point Density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8">
            <w:pPr>
              <w:ind w:left="90" w:firstLine="0"/>
              <w:rPr>
                <w:color w:val="222222"/>
                <w:sz w:val="18"/>
                <w:szCs w:val="18"/>
              </w:rPr>
            </w:pPr>
            <w:r w:rsidDel="00000000" w:rsidR="00000000" w:rsidRPr="00000000">
              <w:rPr>
                <w:color w:val="222222"/>
                <w:sz w:val="18"/>
                <w:szCs w:val="18"/>
                <w:rtl w:val="0"/>
              </w:rPr>
              <w:t xml:space="preserve">Number of points per unit of ground area </w:t>
            </w:r>
            <w:r w:rsidDel="00000000" w:rsidR="00000000" w:rsidRPr="00000000">
              <w:rPr>
                <w:color w:val="222222"/>
                <w:sz w:val="18"/>
                <w:szCs w:val="18"/>
                <w:rtl w:val="0"/>
              </w:rPr>
              <w:t xml:space="preserve">in the NEON AOP Discrete Return LiDAR product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9">
            <w:pPr>
              <w:ind w:left="90" w:firstLine="0"/>
              <w:rPr>
                <w:color w:val="222222"/>
                <w:sz w:val="23"/>
                <w:szCs w:val="23"/>
              </w:rPr>
            </w:pPr>
            <w:r w:rsidDel="00000000" w:rsidR="00000000" w:rsidRPr="00000000">
              <w:rPr>
                <w:color w:val="222222"/>
                <w:sz w:val="18"/>
                <w:szCs w:val="18"/>
                <w:rtl w:val="0"/>
              </w:rPr>
              <w:t xml:space="preserve">Pts m</w:t>
            </w:r>
            <w:r w:rsidDel="00000000" w:rsidR="00000000" w:rsidRPr="00000000">
              <w:rPr>
                <w:color w:val="222222"/>
                <w:sz w:val="18"/>
                <w:szCs w:val="18"/>
                <w:vertAlign w:val="superscript"/>
                <w:rtl w:val="0"/>
              </w:rPr>
              <w:t xml:space="preserve">-2</w:t>
            </w:r>
            <w:r w:rsidDel="00000000" w:rsidR="00000000" w:rsidRPr="00000000">
              <w:rPr>
                <w:rtl w:val="0"/>
              </w:rPr>
            </w:r>
          </w:p>
        </w:tc>
      </w:tr>
      <w:tr>
        <w:trPr>
          <w:cantSplit w:val="0"/>
          <w:trHeight w:val="220" w:hRule="atLeast"/>
          <w:tblHeader w:val="0"/>
        </w:trPr>
        <w:tc>
          <w:tcPr>
            <w:vMerge w:val="restart"/>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A">
            <w:pPr>
              <w:spacing w:before="240" w:lineRule="auto"/>
              <w:ind w:left="90" w:firstLine="0"/>
              <w:rPr>
                <w:color w:val="222222"/>
                <w:sz w:val="18"/>
                <w:szCs w:val="18"/>
              </w:rPr>
            </w:pPr>
            <w:r w:rsidDel="00000000" w:rsidR="00000000" w:rsidRPr="00000000">
              <w:rPr>
                <w:color w:val="222222"/>
                <w:sz w:val="18"/>
                <w:szCs w:val="18"/>
                <w:rtl w:val="0"/>
              </w:rPr>
              <w:t xml:space="preserve">Canopy Function</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B">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The normalized difference vegetation index (NDVI)</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C">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Normalized ratio of NIR and Red bands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D">
            <w:pPr>
              <w:ind w:left="90" w:firstLine="0"/>
              <w:rPr>
                <w:color w:val="222222"/>
                <w:sz w:val="18"/>
                <w:szCs w:val="18"/>
              </w:rPr>
            </w:pPr>
            <w:r w:rsidDel="00000000" w:rsidR="00000000" w:rsidRPr="00000000">
              <w:rPr>
                <w:rtl w:val="0"/>
              </w:rPr>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E">
            <w:pPr>
              <w:ind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BF">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rtl w:val="0"/>
              </w:rPr>
              <w:t xml:space="preserve">Leaf area index (LAI)</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0">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Ratio of upper leaf surface area to ground area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1">
            <w:pPr>
              <w:ind w:left="90" w:firstLine="0"/>
              <w:rPr>
                <w:color w:val="222222"/>
                <w:sz w:val="18"/>
                <w:szCs w:val="18"/>
              </w:rPr>
            </w:pPr>
            <w:r w:rsidDel="00000000" w:rsidR="00000000" w:rsidRPr="00000000">
              <w:rPr>
                <w:rtl w:val="0"/>
              </w:rPr>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2">
            <w:pPr>
              <w:ind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3">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Photochemical Reflectance Index (PRI)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4">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Normalized ratio of bands sensitive to xanthophyll pigments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5">
            <w:pPr>
              <w:ind w:left="90" w:firstLine="0"/>
              <w:rPr>
                <w:color w:val="222222"/>
                <w:sz w:val="18"/>
                <w:szCs w:val="18"/>
              </w:rPr>
            </w:pPr>
            <w:r w:rsidDel="00000000" w:rsidR="00000000" w:rsidRPr="00000000">
              <w:rPr>
                <w:rtl w:val="0"/>
              </w:rPr>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6">
            <w:pPr>
              <w:ind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7">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Enhanced Vegetation Index (EVI)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8">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Ratio of NIR and Red bands that also includes the Blue channel for better aerosol characterization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9">
            <w:pPr>
              <w:ind w:left="90" w:firstLine="0"/>
              <w:rPr>
                <w:color w:val="222222"/>
                <w:sz w:val="18"/>
                <w:szCs w:val="18"/>
              </w:rPr>
            </w:pPr>
            <w:r w:rsidDel="00000000" w:rsidR="00000000" w:rsidRPr="00000000">
              <w:rPr>
                <w:rtl w:val="0"/>
              </w:rPr>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A">
            <w:pPr>
              <w:ind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Soil Adjusted Vegetation Index (SAVI)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C">
            <w:pPr>
              <w:ind w:left="90" w:firstLine="0"/>
              <w:rPr>
                <w:rFonts w:ascii="Times New Roman" w:cs="Times New Roman" w:eastAsia="Times New Roman" w:hAnsi="Times New Roman"/>
                <w:color w:val="222222"/>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normalized ratio of NIR and Red bands with correction factors to minimize soil contribution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CD">
            <w:pPr>
              <w:ind w:left="90" w:firstLine="0"/>
              <w:rPr>
                <w:color w:val="222222"/>
                <w:sz w:val="18"/>
                <w:szCs w:val="18"/>
              </w:rPr>
            </w:pPr>
            <w:r w:rsidDel="00000000" w:rsidR="00000000" w:rsidRPr="00000000">
              <w:rPr>
                <w:rtl w:val="0"/>
              </w:rPr>
            </w:r>
          </w:p>
        </w:tc>
      </w:tr>
      <w:tr>
        <w:trPr>
          <w:cantSplit w:val="0"/>
          <w:trHeight w:val="220" w:hRule="atLeast"/>
          <w:tblHeader w:val="0"/>
        </w:trPr>
        <w:tc>
          <w:tcPr>
            <w:vMerge w:val="restart"/>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E">
            <w:pPr>
              <w:ind w:firstLine="0"/>
              <w:jc w:val="center"/>
              <w:rPr>
                <w:color w:val="222222"/>
                <w:sz w:val="18"/>
                <w:szCs w:val="18"/>
              </w:rPr>
            </w:pPr>
            <w:r w:rsidDel="00000000" w:rsidR="00000000" w:rsidRPr="00000000">
              <w:rPr>
                <w:color w:val="222222"/>
                <w:sz w:val="18"/>
                <w:szCs w:val="18"/>
                <w:rtl w:val="0"/>
              </w:rPr>
              <w:t xml:space="preserve">Measurements</w:t>
            </w:r>
          </w:p>
          <w:p w:rsidR="00000000" w:rsidDel="00000000" w:rsidP="00000000" w:rsidRDefault="00000000" w:rsidRPr="00000000" w14:paraId="000000CF">
            <w:pPr>
              <w:ind w:firstLine="0"/>
              <w:jc w:val="center"/>
              <w:rPr>
                <w:color w:val="222222"/>
                <w:sz w:val="18"/>
                <w:szCs w:val="18"/>
              </w:rPr>
            </w:pPr>
            <w:r w:rsidDel="00000000" w:rsidR="00000000" w:rsidRPr="00000000">
              <w:rPr>
                <w:color w:val="222222"/>
                <w:sz w:val="18"/>
                <w:szCs w:val="18"/>
                <w:rtl w:val="0"/>
              </w:rPr>
              <w:t xml:space="preserve">Distance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0">
            <w:pPr>
              <w:ind w:left="90" w:firstLine="0"/>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Upper distance to the canopy (Relative Dist A)</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1">
            <w:pPr>
              <w:ind w:left="90" w:firstLine="0"/>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Relative Distance of the upper sampling height to the canopy</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2">
            <w:pPr>
              <w:ind w:left="90" w:firstLine="0"/>
              <w:rPr>
                <w:color w:val="222222"/>
                <w:sz w:val="18"/>
                <w:szCs w:val="18"/>
              </w:rPr>
            </w:pPr>
            <w:r w:rsidDel="00000000" w:rsidR="00000000" w:rsidRPr="00000000">
              <w:rPr>
                <w:color w:val="222222"/>
                <w:sz w:val="18"/>
                <w:szCs w:val="18"/>
                <w:rtl w:val="0"/>
              </w:rPr>
              <w:t xml:space="preserve">m</w:t>
            </w:r>
          </w:p>
        </w:tc>
      </w:tr>
      <w:tr>
        <w:trPr>
          <w:cantSplit w:val="0"/>
          <w:trHeight w:val="220" w:hRule="atLeast"/>
          <w:tblHeader w:val="0"/>
        </w:trPr>
        <w:tc>
          <w:tcPr>
            <w:vMerge w:val="continue"/>
            <w:tcBorders>
              <w:top w:color="000000" w:space="0" w:sz="0" w:val="nil"/>
              <w:left w:color="cccccc" w:space="0" w:sz="8" w:val="single"/>
              <w:bottom w:color="cccccc" w:space="0" w:sz="8" w:val="single"/>
              <w:right w:color="cccccc"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3">
            <w:pPr>
              <w:spacing w:after="0" w:before="0" w:line="240" w:lineRule="auto"/>
              <w:ind w:left="0" w:firstLine="0"/>
              <w:rPr>
                <w:rFonts w:ascii="Roboto" w:cs="Roboto" w:eastAsia="Roboto" w:hAnsi="Roboto"/>
                <w:color w:val="2222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4">
            <w:pPr>
              <w:ind w:left="90" w:firstLine="0"/>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Lower distance to the canopy (Relative Dist A)</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5">
            <w:pPr>
              <w:ind w:left="90" w:firstLine="0"/>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Relative Distance of the lower sampling height to the canopy </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D6">
            <w:pPr>
              <w:ind w:left="90" w:firstLine="0"/>
              <w:rPr>
                <w:color w:val="222222"/>
                <w:sz w:val="18"/>
                <w:szCs w:val="18"/>
              </w:rPr>
            </w:pPr>
            <w:r w:rsidDel="00000000" w:rsidR="00000000" w:rsidRPr="00000000">
              <w:rPr>
                <w:color w:val="222222"/>
                <w:sz w:val="18"/>
                <w:szCs w:val="18"/>
                <w:rtl w:val="0"/>
              </w:rPr>
              <w:t xml:space="preserve">m</w:t>
            </w:r>
          </w:p>
        </w:tc>
      </w:tr>
    </w:tbl>
    <w:p w:rsidR="00000000" w:rsidDel="00000000" w:rsidP="00000000" w:rsidRDefault="00000000" w:rsidRPr="00000000" w14:paraId="000000D7">
      <w:pPr>
        <w:spacing w:after="200" w:lineRule="auto"/>
        <w:rPr/>
      </w:pPr>
      <w:r w:rsidDel="00000000" w:rsidR="00000000" w:rsidRPr="00000000">
        <w:rPr>
          <w:rtl w:val="0"/>
        </w:rPr>
      </w:r>
    </w:p>
    <w:p w:rsidR="00000000" w:rsidDel="00000000" w:rsidP="00000000" w:rsidRDefault="00000000" w:rsidRPr="00000000" w14:paraId="000000D8">
      <w:pPr>
        <w:ind w:firstLine="0"/>
        <w:rPr>
          <w:i w:val="1"/>
          <w:iCs w:val="1"/>
          <w:highlight w:val="white"/>
        </w:rPr>
      </w:pPr>
      <w:r w:rsidDel="00000000" w:rsidR="00000000" w:rsidRPr="00000000">
        <w:rPr>
          <w:i w:val="1"/>
          <w:iCs w:val="1"/>
          <w:highlight w:val="white"/>
          <w:rtl w:val="0"/>
        </w:rPr>
        <w:t xml:space="preserve">2.9. </w:t>
      </w:r>
      <w:r w:rsidDel="00000000" w:rsidR="00000000" w:rsidRPr="00000000">
        <w:rPr>
          <w:i w:val="1"/>
          <w:iCs w:val="1"/>
          <w:highlight w:val="white"/>
          <w:rtl w:val="0"/>
        </w:rPr>
        <w:t xml:space="preserve">Gradient Flux</w:t>
      </w:r>
      <w:r w:rsidDel="00000000" w:rsidR="00000000" w:rsidRPr="00000000">
        <w:rPr>
          <w:i w:val="1"/>
          <w:iCs w:val="1"/>
          <w:highlight w:val="white"/>
          <w:rtl w:val="0"/>
        </w:rPr>
        <w:t xml:space="preserve"> </w:t>
      </w:r>
      <w:r w:rsidDel="00000000" w:rsidR="00000000" w:rsidRPr="00000000">
        <w:rPr>
          <w:i w:val="1"/>
          <w:iCs w:val="1"/>
          <w:highlight w:val="white"/>
          <w:rtl w:val="0"/>
        </w:rPr>
        <w:t xml:space="preserve">Ensemble</w:t>
      </w:r>
    </w:p>
    <w:p w:rsidR="00000000" w:rsidDel="00000000" w:rsidP="00000000" w:rsidRDefault="00000000" w:rsidRPr="00000000" w14:paraId="000000D9">
      <w:pPr>
        <w:spacing w:line="240" w:lineRule="auto"/>
        <w:ind w:firstLine="720"/>
        <w:rPr/>
      </w:pPr>
      <w:r w:rsidDel="00000000" w:rsidR="00000000" w:rsidRPr="00000000">
        <w:rPr>
          <w:rtl w:val="0"/>
        </w:rPr>
        <w:t xml:space="preserve">We explored different GF ensembles across sampling height pairs and approaches:</w:t>
      </w:r>
    </w:p>
    <w:p w:rsidR="00000000" w:rsidDel="00000000" w:rsidP="00000000" w:rsidRDefault="00000000" w:rsidRPr="00000000" w14:paraId="000000DA">
      <w:pPr>
        <w:spacing w:after="160" w:line="240" w:lineRule="auto"/>
        <w:ind w:firstLine="0"/>
        <w:rPr>
          <w:highlight w:val="white"/>
        </w:rPr>
      </w:pPr>
      <w:r w:rsidDel="00000000" w:rsidR="00000000" w:rsidRPr="00000000">
        <w:rPr>
          <w:highlight w:val="white"/>
          <w:rtl w:val="0"/>
        </w:rPr>
        <w:t xml:space="preserve">mean, median, weighted median uncertainty, inverse RMSE weighted, method specific weighted, and bayesian_fusion. The unweighted mean and median used all retained GF estimates equally. The uncertainty-weighted median used inverse RMSE as the observation weight. The inverse-RMSE weighted ensemble used a weighted mean with weights equal to 1 / RMSE. Method-specific weighting used approach-level mean RMSE, estimated separately by gas and approach across the RSHP-filtered dataset, to assign each method a fixed reliability weight. The Bayesian fusion variant used a precision-style weighting scheme proportional to the product of the approach-level inverse-variance proxy and the observation-level inverse-variance proxy. When weights were missing or non-positive, the algorithm reverted to the unweighted mean for that half-hour. We evaluated each ensemble against EC reference fluxes at the site-by-gas level. For each site, gas, and ensemble method, we retained only half-hourly comparisons with non-missing EC and ensemble fluxes and required more than 20 observations. We then calculated three performance metrics: R</w:t>
      </w:r>
      <w:r w:rsidDel="00000000" w:rsidR="00000000" w:rsidRPr="00000000">
        <w:rPr>
          <w:highlight w:val="white"/>
          <w:vertAlign w:val="superscript"/>
          <w:rtl w:val="0"/>
        </w:rPr>
        <w:t xml:space="preserve">2</w:t>
      </w:r>
      <w:r w:rsidDel="00000000" w:rsidR="00000000" w:rsidRPr="00000000">
        <w:rPr>
          <w:highlight w:val="white"/>
          <w:rtl w:val="0"/>
        </w:rPr>
        <w:t xml:space="preserve">, CCC, and RMSE between EC and ensemble fluxes. Site-level metrics were summarized by gas and method using the mean, median, and standard deviation across sites. </w:t>
      </w:r>
      <w:r w:rsidDel="00000000" w:rsidR="00000000" w:rsidRPr="00000000">
        <w:rPr>
          <w:color w:val="1f1f1f"/>
          <w:highlight w:val="white"/>
          <w:rtl w:val="0"/>
        </w:rPr>
        <w:t xml:space="preserve">Although this is the first study to ensemble gradient fluxes across approaches and sampling height pairs, e</w:t>
      </w:r>
      <w:r w:rsidDel="00000000" w:rsidR="00000000" w:rsidRPr="00000000">
        <w:rPr>
          <w:color w:val="1f1f1f"/>
          <w:highlight w:val="white"/>
          <w:rtl w:val="0"/>
        </w:rPr>
        <w:t xml:space="preserve">nsemble models have been shown to provide more robust and accurate estimates compared to approaches reliant on a single modeling framework </w:t>
      </w:r>
      <w:hyperlink r:id="rId79">
        <w:r w:rsidDel="00000000" w:rsidR="00000000" w:rsidRPr="00000000">
          <w:rPr>
            <w:b w:val="0"/>
            <w:bCs w:val="0"/>
            <w:color w:val="000000"/>
            <w:highlight w:val="white"/>
            <w:u w:val="none"/>
            <w:rtl w:val="0"/>
          </w:rPr>
          <w:t xml:space="preserve">(Willcock et al., 2020)</w:t>
        </w:r>
      </w:hyperlink>
      <w:r w:rsidDel="00000000" w:rsidR="00000000" w:rsidRPr="00000000">
        <w:rPr>
          <w:color w:val="1f1f1f"/>
          <w:highlight w:val="white"/>
          <w:rtl w:val="0"/>
        </w:rPr>
        <w:t xml:space="preserve">. Ensembles can also be useful for providing indications of uncertainty, particularly when validation data are</w:t>
      </w:r>
      <w:r w:rsidDel="00000000" w:rsidR="00000000" w:rsidRPr="00000000">
        <w:rPr>
          <w:color w:val="1f1f1f"/>
          <w:highlight w:val="white"/>
          <w:rtl w:val="0"/>
        </w:rPr>
        <w:t xml:space="preserve"> not available.</w:t>
      </w:r>
      <w:r w:rsidDel="00000000" w:rsidR="00000000" w:rsidRPr="00000000">
        <w:rPr>
          <w:rtl w:val="0"/>
        </w:rPr>
      </w:r>
    </w:p>
    <w:p w:rsidR="00000000" w:rsidDel="00000000" w:rsidP="00000000" w:rsidRDefault="00000000" w:rsidRPr="00000000" w14:paraId="000000DB">
      <w:pPr>
        <w:rPr>
          <w:highlight w:val="white"/>
        </w:rPr>
      </w:pPr>
      <w:r w:rsidDel="00000000" w:rsidR="00000000" w:rsidRPr="00000000">
        <w:rPr>
          <w:rtl w:val="0"/>
        </w:rPr>
      </w:r>
    </w:p>
    <w:p w:rsidR="00000000" w:rsidDel="00000000" w:rsidP="00000000" w:rsidRDefault="00000000" w:rsidRPr="00000000" w14:paraId="000000DC">
      <w:pPr>
        <w:spacing w:before="0" w:lineRule="auto"/>
        <w:ind w:left="0" w:firstLine="0"/>
        <w:rPr>
          <w:i w:val="1"/>
          <w:iCs w:val="1"/>
          <w:highlight w:val="white"/>
        </w:rPr>
      </w:pPr>
      <w:r w:rsidDel="00000000" w:rsidR="00000000" w:rsidRPr="00000000">
        <w:rPr>
          <w:i w:val="1"/>
          <w:iCs w:val="1"/>
          <w:highlight w:val="white"/>
          <w:rtl w:val="0"/>
        </w:rPr>
        <w:t xml:space="preserve">2.10. Eco</w:t>
      </w:r>
      <w:r w:rsidDel="00000000" w:rsidR="00000000" w:rsidRPr="00000000">
        <w:rPr>
          <w:i w:val="1"/>
          <w:iCs w:val="1"/>
          <w:highlight w:val="white"/>
          <w:rtl w:val="0"/>
        </w:rPr>
        <w:t xml:space="preserve">system Assessment</w:t>
      </w:r>
    </w:p>
    <w:p w:rsidR="00000000" w:rsidDel="00000000" w:rsidP="00000000" w:rsidRDefault="00000000" w:rsidRPr="00000000" w14:paraId="000000DD">
      <w:pPr>
        <w:spacing w:before="0" w:lineRule="auto"/>
        <w:ind w:left="0" w:firstLine="0"/>
        <w:rPr>
          <w:highlight w:val="white"/>
        </w:rPr>
      </w:pPr>
      <w:r w:rsidDel="00000000" w:rsidR="00000000" w:rsidRPr="00000000">
        <w:rPr>
          <w:rtl w:val="0"/>
        </w:rPr>
      </w:r>
    </w:p>
    <w:p w:rsidR="00000000" w:rsidDel="00000000" w:rsidP="00000000" w:rsidRDefault="00000000" w:rsidRPr="00000000" w14:paraId="000000DE">
      <w:pPr>
        <w:spacing w:before="0" w:lineRule="auto"/>
        <w:ind w:left="0" w:firstLine="720"/>
        <w:rPr/>
      </w:pPr>
      <w:r w:rsidDel="00000000" w:rsidR="00000000" w:rsidRPr="00000000">
        <w:rPr>
          <w:highlight w:val="white"/>
          <w:rtl w:val="0"/>
        </w:rPr>
        <w:t xml:space="preserve">To evaluate whether the ensemble GF can provide ecologically meaningful information, we </w:t>
      </w:r>
      <w:r w:rsidDel="00000000" w:rsidR="00000000" w:rsidRPr="00000000">
        <w:rPr>
          <w:rtl w:val="0"/>
        </w:rPr>
        <w:t xml:space="preserve">fit seasonal diel curves for both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to assess fluxes over a 24-hour cycle. Daily changes in sunlight, temperature, and biological activity primarily drive diel curves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t xml:space="preserve">. Curves reveal an ecosystem's metabolic function by showing daily fluctuations in photosynthesis, respiration, and transpiration. </w:t>
      </w:r>
      <w:r w:rsidDel="00000000" w:rsidR="00000000" w:rsidRPr="00000000">
        <w:rPr>
          <w:rtl w:val="0"/>
        </w:rPr>
        <w:t xml:space="preserve">Diel curves were fitted on ensemble GF data by season (winter, spring, summer, and autumn) at each site using the loess function in R (Jacoby, 2000)</w:t>
      </w:r>
      <w:r w:rsidDel="00000000" w:rsidR="00000000" w:rsidRPr="00000000">
        <w:rPr>
          <w:highlight w:val="white"/>
          <w:rtl w:val="0"/>
        </w:rPr>
        <w:t xml:space="preserve">. Using the diel curves, we measured the differences in total daily flux between the EC and the ensemble GF. The goal was to compare the pattern and magnitude, which should be similar between the EC and the </w:t>
      </w:r>
      <w:r w:rsidDel="00000000" w:rsidR="00000000" w:rsidRPr="00000000">
        <w:rPr>
          <w:highlight w:val="white"/>
          <w:rtl w:val="0"/>
        </w:rPr>
        <w:t xml:space="preserve">ensemble</w:t>
      </w:r>
      <w:r w:rsidDel="00000000" w:rsidR="00000000" w:rsidRPr="00000000">
        <w:rPr>
          <w:highlight w:val="white"/>
          <w:rtl w:val="0"/>
        </w:rPr>
        <w:t xml:space="preserve"> GF, to ensure this information is a reliable data stream.</w:t>
      </w:r>
      <w:r w:rsidDel="00000000" w:rsidR="00000000" w:rsidRPr="00000000">
        <w:rPr>
          <w:rtl w:val="0"/>
        </w:rPr>
      </w:r>
    </w:p>
    <w:p w:rsidR="00000000" w:rsidDel="00000000" w:rsidP="00000000" w:rsidRDefault="00000000" w:rsidRPr="00000000" w14:paraId="000000DF">
      <w:pPr>
        <w:ind w:firstLine="720"/>
        <w:rPr/>
      </w:pPr>
      <w:r w:rsidDel="00000000" w:rsidR="00000000" w:rsidRPr="00000000">
        <w:rPr>
          <w:rtl w:val="0"/>
        </w:rPr>
      </w:r>
    </w:p>
    <w:p w:rsidR="00000000" w:rsidDel="00000000" w:rsidP="00000000" w:rsidRDefault="00000000" w:rsidRPr="00000000" w14:paraId="000000E0">
      <w:pPr>
        <w:ind w:left="0" w:firstLine="0"/>
        <w:rPr>
          <w:i w:val="1"/>
          <w:iCs w:val="1"/>
        </w:rPr>
      </w:pPr>
      <w:r w:rsidDel="00000000" w:rsidR="00000000" w:rsidRPr="00000000">
        <w:rPr>
          <w:i w:val="1"/>
          <w:iCs w:val="1"/>
          <w:rtl w:val="0"/>
        </w:rPr>
        <w:t xml:space="preserve">2.11. Methods Summary</w:t>
      </w:r>
    </w:p>
    <w:p w:rsidR="00000000" w:rsidDel="00000000" w:rsidP="00000000" w:rsidRDefault="00000000" w:rsidRPr="00000000" w14:paraId="000000E1">
      <w:pPr>
        <w:ind w:left="0" w:firstLine="0"/>
        <w:rPr>
          <w:i w:val="1"/>
          <w:iCs w:val="1"/>
        </w:rPr>
      </w:pPr>
      <w:r w:rsidDel="00000000" w:rsidR="00000000" w:rsidRPr="00000000">
        <w:rPr>
          <w:rtl w:val="0"/>
        </w:rPr>
      </w:r>
    </w:p>
    <w:p w:rsidR="00000000" w:rsidDel="00000000" w:rsidP="00000000" w:rsidRDefault="00000000" w:rsidRPr="00000000" w14:paraId="000000E2">
      <w:pPr>
        <w:ind w:firstLine="720"/>
        <w:rPr>
          <w:shd w:fill="ead1dc" w:val="clear"/>
        </w:rPr>
      </w:pPr>
      <w:r w:rsidDel="00000000" w:rsidR="00000000" w:rsidRPr="00000000">
        <w:rPr>
          <w:rtl w:val="0"/>
        </w:rPr>
        <w:t xml:space="preserve">This study was designed to explore when and where the GF method reliably estimates ecosystem fluxes of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for the NEON flux towers (Figure 2)</w:t>
      </w:r>
      <w:r w:rsidDel="00000000" w:rsidR="00000000" w:rsidRPr="00000000">
        <w:rPr>
          <w:rtl w:val="0"/>
        </w:rPr>
        <w:t xml:space="preserve">. Confidence in the GF method was determined by its concordance with the EC method. While we don't expect identical flux measurements between the EC and GF methods due to footprint differences, we assess reliability by comparing the ecological implications of the measurements, which can be quantified effectively using the CCC. To determine the limits of the GF method, we begin by filtering based on u* and SNR. Next, we determined the CCC (EC) for each sampling height pair. We created an indicator to identify data from sampling heights with a CCC (EC) ≥ 0.5, balancing agreement with the EC while minimizing data loss. With the data that met the CCC (EC) threshold, we then explored the distribution of data across GF approaches (MBR, AE, WP), canopy measurement levels (AA and AW), seasons (winter, spring, summer, and autumn), and hours (0-23). We developed a model to explore the impact of canopy attributes on which sampling height pairs yielded reliable fluxes. Across ecosystems, where reliable GFs were available from different approaches and sampling height pairs, we </w:t>
      </w:r>
      <w:r w:rsidDel="00000000" w:rsidR="00000000" w:rsidRPr="00000000">
        <w:rPr>
          <w:highlight w:val="white"/>
          <w:rtl w:val="0"/>
        </w:rPr>
        <w:t xml:space="preserve">ensembled all reliable GFs</w:t>
      </w:r>
      <w:r w:rsidDel="00000000" w:rsidR="00000000" w:rsidRPr="00000000">
        <w:rPr>
          <w:rtl w:val="0"/>
        </w:rPr>
        <w:t xml:space="preserve">. We then compared the </w:t>
      </w:r>
      <w:r w:rsidDel="00000000" w:rsidR="00000000" w:rsidRPr="00000000">
        <w:rPr>
          <w:highlight w:val="white"/>
          <w:rtl w:val="0"/>
        </w:rPr>
        <w:t xml:space="preserve">ensemble</w:t>
      </w:r>
      <w:r w:rsidDel="00000000" w:rsidR="00000000" w:rsidRPr="00000000">
        <w:rPr>
          <w:rtl w:val="0"/>
        </w:rPr>
        <w:t xml:space="preserve"> GF to the EC method, measuring the ensemble's concordance. Next, we performed ecosystem assessments by fitting seasonal diel curves for each site. To assess agreement, we compared diel curves from the EC method and the </w:t>
      </w:r>
      <w:r w:rsidDel="00000000" w:rsidR="00000000" w:rsidRPr="00000000">
        <w:rPr>
          <w:highlight w:val="white"/>
          <w:rtl w:val="0"/>
        </w:rPr>
        <w:t xml:space="preserve">ensemble</w:t>
      </w:r>
      <w:r w:rsidDel="00000000" w:rsidR="00000000" w:rsidRPr="00000000">
        <w:rPr>
          <w:rtl w:val="0"/>
        </w:rPr>
        <w:t xml:space="preserve"> GF method.</w:t>
      </w:r>
      <w:r w:rsidDel="00000000" w:rsidR="00000000" w:rsidRPr="00000000">
        <w:rPr>
          <w:rtl w:val="0"/>
        </w:rPr>
      </w:r>
    </w:p>
    <w:p w:rsidR="00000000" w:rsidDel="00000000" w:rsidP="00000000" w:rsidRDefault="00000000" w:rsidRPr="00000000" w14:paraId="000000E3">
      <w:pPr>
        <w:ind w:firstLine="0"/>
        <w:jc w:val="center"/>
        <w:rPr>
          <w:sz w:val="24"/>
          <w:szCs w:val="24"/>
        </w:rPr>
      </w:pPr>
      <w:r w:rsidDel="00000000" w:rsidR="00000000" w:rsidRPr="00000000">
        <w:rPr>
          <w:sz w:val="24"/>
          <w:szCs w:val="24"/>
        </w:rPr>
        <mc:AlternateContent>
          <mc:Choice Requires="wpg">
            <w:drawing>
              <wp:inline distB="114300" distT="114300" distL="114300" distR="114300">
                <wp:extent cx="4833938" cy="4079875"/>
                <wp:effectExtent b="0" l="0" r="0" t="0"/>
                <wp:docPr id="4" name=""/>
                <a:graphic>
                  <a:graphicData uri="http://schemas.microsoft.com/office/word/2010/wordprocessingGroup">
                    <wpg:wgp>
                      <wpg:cNvGrpSpPr/>
                      <wpg:grpSpPr>
                        <a:xfrm>
                          <a:off x="0" y="0"/>
                          <a:ext cx="4833938" cy="4079875"/>
                          <a:chOff x="0" y="0"/>
                          <a:chExt cx="5795625" cy="4887600"/>
                        </a:xfrm>
                      </wpg:grpSpPr>
                      <wps:wsp>
                        <wps:cNvSpPr txBox="1"/>
                        <wps:cNvPr id="57" name="Shape 57"/>
                        <wps:spPr>
                          <a:xfrm>
                            <a:off x="159136" y="2483723"/>
                            <a:ext cx="30000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Reliable Sampling Height Pairs</w:t>
                              </w:r>
                            </w:p>
                          </w:txbxContent>
                        </wps:txbx>
                        <wps:bodyPr anchorCtr="0" anchor="t" bIns="91425" lIns="91425" spcFirstLastPara="1" rIns="91425" wrap="square" tIns="91425">
                          <a:spAutoFit/>
                        </wps:bodyPr>
                      </wps:wsp>
                      <wps:wsp>
                        <wps:cNvSpPr/>
                        <wps:cNvPr id="58" name="Shape 58"/>
                        <wps:spPr>
                          <a:xfrm>
                            <a:off x="3921600" y="1935382"/>
                            <a:ext cx="1738800" cy="1577400"/>
                          </a:xfrm>
                          <a:prstGeom prst="roundRect">
                            <a:avLst>
                              <a:gd fmla="val 8629" name="adj"/>
                            </a:avLst>
                          </a:prstGeom>
                          <a:solidFill>
                            <a:srgbClr val="D9EAD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9" name="Shape 59"/>
                        <wps:spPr>
                          <a:xfrm>
                            <a:off x="61350" y="30675"/>
                            <a:ext cx="3456300" cy="1380600"/>
                          </a:xfrm>
                          <a:prstGeom prst="roundRect">
                            <a:avLst>
                              <a:gd fmla="val 8629" name="adj"/>
                            </a:avLst>
                          </a:prstGeom>
                          <a:solidFill>
                            <a:srgbClr val="EFEFE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0" name="Shape 60"/>
                        <wps:spPr>
                          <a:xfrm>
                            <a:off x="242084" y="1973175"/>
                            <a:ext cx="953700" cy="465300"/>
                          </a:xfrm>
                          <a:prstGeom prst="roundRect">
                            <a:avLst>
                              <a:gd fmla="val 16667" name="adj"/>
                            </a:avLst>
                          </a:prstGeom>
                          <a:solidFill>
                            <a:srgbClr val="FFFFFF"/>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1" name="Shape 61"/>
                        <wps:spPr>
                          <a:xfrm>
                            <a:off x="153000" y="191967"/>
                            <a:ext cx="1738800" cy="465300"/>
                          </a:xfrm>
                          <a:prstGeom prst="roundRect">
                            <a:avLst>
                              <a:gd fmla="val 16667" name="adj"/>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GF</w:t>
                              </w:r>
                            </w:p>
                          </w:txbxContent>
                        </wps:txbx>
                        <wps:bodyPr anchorCtr="0" anchor="ctr" bIns="91425" lIns="91425" spcFirstLastPara="1" rIns="91425" wrap="square" tIns="91425">
                          <a:noAutofit/>
                        </wps:bodyPr>
                      </wps:wsp>
                      <wps:wsp>
                        <wps:cNvSpPr/>
                        <wps:cNvPr id="62" name="Shape 62"/>
                        <wps:spPr>
                          <a:xfrm>
                            <a:off x="2167911" y="191956"/>
                            <a:ext cx="1268100" cy="465300"/>
                          </a:xfrm>
                          <a:prstGeom prst="roundRect">
                            <a:avLst>
                              <a:gd fmla="val 16667" name="adj"/>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EC</w:t>
                              </w:r>
                            </w:p>
                          </w:txbxContent>
                        </wps:txbx>
                        <wps:bodyPr anchorCtr="0" anchor="ctr" bIns="91425" lIns="91425" spcFirstLastPara="1" rIns="91425" wrap="square" tIns="91425">
                          <a:noAutofit/>
                        </wps:bodyPr>
                      </wps:wsp>
                      <wps:wsp>
                        <wps:cNvSpPr/>
                        <wps:cNvPr id="63" name="Shape 63"/>
                        <wps:spPr>
                          <a:xfrm>
                            <a:off x="347540" y="2075349"/>
                            <a:ext cx="6852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0"/>
                                  <w:vertAlign w:val="baseline"/>
                                </w:rPr>
                                <w:t xml:space="preserve">CCC</w:t>
                              </w:r>
                            </w:p>
                          </w:txbxContent>
                        </wps:txbx>
                        <wps:bodyPr anchorCtr="0" anchor="ctr" bIns="91425" lIns="91425" spcFirstLastPara="1" rIns="91425" wrap="square" tIns="91425">
                          <a:noAutofit/>
                        </wps:bodyPr>
                      </wps:wsp>
                      <wps:wsp>
                        <wps:cNvSpPr/>
                        <wps:cNvPr id="64" name="Shape 64"/>
                        <wps:spPr>
                          <a:xfrm>
                            <a:off x="173850" y="988350"/>
                            <a:ext cx="2668800" cy="354000"/>
                          </a:xfrm>
                          <a:prstGeom prst="roundRect">
                            <a:avLst>
                              <a:gd fmla="val 16667" name="adj"/>
                            </a:avLst>
                          </a:prstGeom>
                          <a:solidFill>
                            <a:srgbClr val="FFFFFF"/>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5" name="Shape 65"/>
                        <wps:spPr>
                          <a:xfrm>
                            <a:off x="159275" y="2759400"/>
                            <a:ext cx="2955300" cy="7635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6" name="Shape 66"/>
                        <wps:spPr>
                          <a:xfrm>
                            <a:off x="157118" y="765748"/>
                            <a:ext cx="23037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Filtering</w:t>
                              </w:r>
                            </w:p>
                          </w:txbxContent>
                        </wps:txbx>
                        <wps:bodyPr anchorCtr="0" anchor="t" bIns="91425" lIns="91425" spcFirstLastPara="1" rIns="91425" wrap="square" tIns="91425">
                          <a:spAutoFit/>
                        </wps:bodyPr>
                      </wps:wsp>
                      <wps:wsp>
                        <wps:cNvSpPr/>
                        <wps:cNvPr id="67" name="Shape 67"/>
                        <wps:spPr>
                          <a:xfrm>
                            <a:off x="238390" y="1024278"/>
                            <a:ext cx="6852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u*</w:t>
                              </w:r>
                            </w:p>
                          </w:txbxContent>
                        </wps:txbx>
                        <wps:bodyPr anchorCtr="0" anchor="ctr" bIns="91425" lIns="91425" spcFirstLastPara="1" rIns="91425" wrap="square" tIns="91425">
                          <a:noAutofit/>
                        </wps:bodyPr>
                      </wps:wsp>
                      <wps:wsp>
                        <wps:cNvSpPr/>
                        <wps:cNvPr id="68" name="Shape 68"/>
                        <wps:spPr>
                          <a:xfrm>
                            <a:off x="1102040" y="1036552"/>
                            <a:ext cx="6852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SNR</w:t>
                              </w:r>
                            </w:p>
                          </w:txbxContent>
                        </wps:txbx>
                        <wps:bodyPr anchorCtr="0" anchor="ctr" bIns="91425" lIns="91425" spcFirstLastPara="1" rIns="91425" wrap="square" tIns="91425">
                          <a:noAutofit/>
                        </wps:bodyPr>
                      </wps:wsp>
                      <wps:wsp>
                        <wps:cNvSpPr/>
                        <wps:cNvPr id="69" name="Shape 69"/>
                        <wps:spPr>
                          <a:xfrm>
                            <a:off x="1965690" y="1036553"/>
                            <a:ext cx="7935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TSNR</w:t>
                              </w:r>
                            </w:p>
                          </w:txbxContent>
                        </wps:txbx>
                        <wps:bodyPr anchorCtr="0" anchor="ctr" bIns="91425" lIns="91425" spcFirstLastPara="1" rIns="91425" wrap="square" tIns="91425">
                          <a:noAutofit/>
                        </wps:bodyPr>
                      </wps:wsp>
                      <wps:wsp>
                        <wps:cNvCnPr/>
                        <wps:spPr>
                          <a:xfrm flipH="1" rot="-5400000">
                            <a:off x="1099650" y="580017"/>
                            <a:ext cx="331200" cy="485700"/>
                          </a:xfrm>
                          <a:prstGeom prst="bentConnector3">
                            <a:avLst>
                              <a:gd fmla="val 49982"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798150" y="1263150"/>
                            <a:ext cx="630900" cy="789300"/>
                          </a:xfrm>
                          <a:prstGeom prst="bentConnector3">
                            <a:avLst>
                              <a:gd fmla="val 49994" name="adj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18911" y="424606"/>
                            <a:ext cx="2717100" cy="1548600"/>
                          </a:xfrm>
                          <a:prstGeom prst="bentConnector4">
                            <a:avLst>
                              <a:gd fmla="val -8764" name="adj1"/>
                              <a:gd fmla="val 88798" name="adj2"/>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3" name="Shape 73"/>
                        <wps:spPr>
                          <a:xfrm>
                            <a:off x="3921600" y="1884656"/>
                            <a:ext cx="1595700" cy="492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Canopy &amp; </w:t>
                              </w:r>
                              <w:r w:rsidDel="00000000" w:rsidR="00000000" w:rsidRPr="00000000">
                                <w:rPr>
                                  <w:rFonts w:ascii="Arial" w:cs="Arial" w:eastAsia="Arial" w:hAnsi="Arial"/>
                                  <w:b w:val="0"/>
                                  <w:i w:val="0"/>
                                  <w:smallCaps w:val="0"/>
                                  <w:strike w:val="0"/>
                                  <w:color w:val="000000"/>
                                  <w:sz w:val="20"/>
                                  <w:vertAlign w:val="baseline"/>
                                </w:rPr>
                                <w:t xml:space="preserve">Reliable Sampling Height Pairs</w:t>
                              </w:r>
                            </w:p>
                          </w:txbxContent>
                        </wps:txbx>
                        <wps:bodyPr anchorCtr="0" anchor="t" bIns="91425" lIns="91425" spcFirstLastPara="1" rIns="91425" wrap="square" tIns="91425">
                          <a:spAutoFit/>
                        </wps:bodyPr>
                      </wps:wsp>
                      <wps:wsp>
                        <wps:cNvSpPr txBox="1"/>
                        <wps:cNvPr id="74" name="Shape 74"/>
                        <wps:spPr>
                          <a:xfrm>
                            <a:off x="-91513" y="-69130"/>
                            <a:ext cx="10224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Methods</w:t>
                              </w:r>
                            </w:p>
                          </w:txbxContent>
                        </wps:txbx>
                        <wps:bodyPr anchorCtr="0" anchor="t" bIns="91425" lIns="91425" spcFirstLastPara="1" rIns="91425" wrap="square" tIns="91425">
                          <a:spAutoFit/>
                        </wps:bodyPr>
                      </wps:wsp>
                      <wps:wsp>
                        <wps:cNvSpPr txBox="1"/>
                        <wps:cNvPr id="75" name="Shape 75"/>
                        <wps:spPr>
                          <a:xfrm>
                            <a:off x="75305" y="398374"/>
                            <a:ext cx="16836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Approach: </w:t>
                              </w:r>
                              <w:r w:rsidDel="00000000" w:rsidR="00000000" w:rsidRPr="00000000">
                                <w:rPr>
                                  <w:rFonts w:ascii="Arial" w:cs="Arial" w:eastAsia="Arial" w:hAnsi="Arial"/>
                                  <w:b w:val="0"/>
                                  <w:i w:val="0"/>
                                  <w:smallCaps w:val="0"/>
                                  <w:strike w:val="0"/>
                                  <w:color w:val="bf9000"/>
                                  <w:sz w:val="20"/>
                                  <w:vertAlign w:val="baseline"/>
                                </w:rPr>
                                <w:t xml:space="preserve">MBR</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38a779"/>
                                  <w:sz w:val="20"/>
                                  <w:vertAlign w:val="baseline"/>
                                </w:rPr>
                                <w:t xml:space="preserve">AE</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8d3f94"/>
                                  <w:sz w:val="20"/>
                                  <w:vertAlign w:val="baseline"/>
                                </w:rPr>
                                <w:t xml:space="preserve">WP</w:t>
                              </w:r>
                            </w:p>
                          </w:txbxContent>
                        </wps:txbx>
                        <wps:bodyPr anchorCtr="0" anchor="t" bIns="91425" lIns="91425" spcFirstLastPara="1" rIns="91425" wrap="square" tIns="91425">
                          <a:spAutoFit/>
                        </wps:bodyPr>
                      </wps:wsp>
                      <wps:wsp>
                        <wps:cNvSpPr txBox="1"/>
                        <wps:cNvPr id="76" name="Shape 76"/>
                        <wps:spPr>
                          <a:xfrm>
                            <a:off x="1183776" y="2044000"/>
                            <a:ext cx="13182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CCC (EC) </w:t>
                              </w:r>
                              <w:r w:rsidDel="00000000" w:rsidR="00000000" w:rsidRPr="00000000">
                                <w:rPr>
                                  <w:rFonts w:ascii="Times" w:cs="Times" w:eastAsia="Times" w:hAnsi="Times"/>
                                  <w:b w:val="0"/>
                                  <w:i w:val="0"/>
                                  <w:smallCaps w:val="0"/>
                                  <w:strike w:val="0"/>
                                  <w:color w:val="000000"/>
                                  <w:sz w:val="22"/>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Times" w:cs="Times" w:eastAsia="Times" w:hAnsi="Times"/>
                                  <w:b w:val="0"/>
                                  <w:i w:val="0"/>
                                  <w:smallCaps w:val="0"/>
                                  <w:strike w:val="0"/>
                                  <w:color w:val="000000"/>
                                  <w:sz w:val="22"/>
                                  <w:vertAlign w:val="baseline"/>
                                </w:rPr>
                                <w:t xml:space="preserve">0.5</w:t>
                              </w:r>
                            </w:p>
                          </w:txbxContent>
                        </wps:txbx>
                        <wps:bodyPr anchorCtr="0" anchor="t" bIns="91425" lIns="91425" spcFirstLastPara="1" rIns="91425" wrap="square" tIns="91425">
                          <a:spAutoFit/>
                        </wps:bodyPr>
                      </wps:wsp>
                      <wps:wsp>
                        <wps:cNvSpPr/>
                        <wps:cNvPr id="77" name="Shape 77"/>
                        <wps:spPr>
                          <a:xfrm>
                            <a:off x="1994025" y="3972925"/>
                            <a:ext cx="2207100" cy="909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DIEL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0"/>
                                  <w:vertAlign w:val="baseline"/>
                                </w:rPr>
                              </w:r>
                            </w:p>
                          </w:txbxContent>
                        </wps:txbx>
                        <wps:bodyPr anchorCtr="0" anchor="ctr" bIns="91425" lIns="91425" spcFirstLastPara="1" rIns="91425" wrap="square" tIns="91425">
                          <a:noAutofit/>
                        </wps:bodyPr>
                      </wps:wsp>
                      <wps:wsp>
                        <wps:cNvSpPr/>
                        <wps:cNvPr id="78" name="Shape 78"/>
                        <wps:spPr>
                          <a:xfrm>
                            <a:off x="4396928" y="3212182"/>
                            <a:ext cx="1190400" cy="2610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0"/>
                                  <w:vertAlign w:val="baseline"/>
                                </w:rPr>
                                <w:t xml:space="preserve">Random Forest</w:t>
                              </w:r>
                            </w:p>
                          </w:txbxContent>
                        </wps:txbx>
                        <wps:bodyPr anchorCtr="0" anchor="ctr" bIns="91425" lIns="91425" spcFirstLastPara="1" rIns="91425" wrap="square" tIns="91425">
                          <a:noAutofit/>
                        </wps:bodyPr>
                      </wps:wsp>
                      <wps:wsp>
                        <wps:cNvCnPr/>
                        <wps:spPr>
                          <a:xfrm>
                            <a:off x="1045541" y="2213350"/>
                            <a:ext cx="2046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pic:pic>
                        <pic:nvPicPr>
                          <pic:cNvPr id="80" name="Shape 80" title="Screenshot 2025-06-03 at 1.56.59 PM.png"/>
                          <pic:cNvPicPr preferRelativeResize="0"/>
                        </pic:nvPicPr>
                        <pic:blipFill rotWithShape="1">
                          <a:blip r:embed="rId35">
                            <a:alphaModFix/>
                          </a:blip>
                          <a:srcRect b="6306" l="0" r="0" t="0"/>
                          <a:stretch/>
                        </pic:blipFill>
                        <pic:spPr>
                          <a:xfrm>
                            <a:off x="4336648" y="2342833"/>
                            <a:ext cx="567475" cy="763350"/>
                          </a:xfrm>
                          <a:prstGeom prst="rect">
                            <a:avLst/>
                          </a:prstGeom>
                          <a:noFill/>
                          <a:ln>
                            <a:noFill/>
                          </a:ln>
                        </pic:spPr>
                      </pic:pic>
                      <wps:wsp>
                        <wps:cNvCnPr/>
                        <wps:spPr>
                          <a:xfrm>
                            <a:off x="4500549" y="2615755"/>
                            <a:ext cx="344400" cy="3300"/>
                          </a:xfrm>
                          <a:prstGeom prst="straightConnector1">
                            <a:avLst/>
                          </a:prstGeom>
                          <a:noFill/>
                          <a:ln cap="flat" cmpd="sng" w="5750">
                            <a:solidFill>
                              <a:srgbClr val="000000"/>
                            </a:solidFill>
                            <a:prstDash val="dot"/>
                            <a:round/>
                            <a:headEnd len="med" w="med" type="none"/>
                            <a:tailEnd len="med" w="med" type="none"/>
                          </a:ln>
                        </wps:spPr>
                        <wps:bodyPr anchorCtr="0" anchor="ctr" bIns="27625" lIns="27625" spcFirstLastPara="1" rIns="27625" wrap="square" tIns="27625">
                          <a:noAutofit/>
                        </wps:bodyPr>
                      </wps:wsp>
                      <wps:wsp>
                        <wps:cNvSpPr/>
                        <wps:cNvPr id="82" name="Shape 82"/>
                        <wps:spPr>
                          <a:xfrm>
                            <a:off x="4797942" y="2374311"/>
                            <a:ext cx="58200" cy="219600"/>
                          </a:xfrm>
                          <a:prstGeom prst="rightBracket">
                            <a:avLst>
                              <a:gd fmla="val 8333" name="adj"/>
                            </a:avLst>
                          </a:prstGeom>
                          <a:noFill/>
                          <a:ln cap="flat" cmpd="sng" w="8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27625" lIns="27625" spcFirstLastPara="1" rIns="27625" wrap="square" tIns="27625">
                          <a:noAutofit/>
                        </wps:bodyPr>
                      </wps:wsp>
                      <wps:wsp>
                        <wps:cNvSpPr txBox="1"/>
                        <wps:cNvPr id="83" name="Shape 83"/>
                        <wps:spPr>
                          <a:xfrm>
                            <a:off x="4917447" y="2394727"/>
                            <a:ext cx="450900" cy="13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946800231933594"/>
                                  <w:vertAlign w:val="baseline"/>
                                </w:rPr>
                                <w:t xml:space="preserve">Above</w:t>
                              </w:r>
                              <w:r w:rsidDel="00000000" w:rsidR="00000000" w:rsidRPr="00000000">
                                <w:rPr>
                                  <w:rFonts w:ascii="Arial" w:cs="Arial" w:eastAsia="Arial" w:hAnsi="Arial"/>
                                  <w:b w:val="0"/>
                                  <w:i w:val="0"/>
                                  <w:smallCaps w:val="0"/>
                                  <w:strike w:val="0"/>
                                  <w:color w:val="000000"/>
                                  <w:sz w:val="10.946800231933594"/>
                                  <w:vertAlign w:val="baseline"/>
                                </w:rPr>
                                <w:t xml:space="preserve"> (A)</w:t>
                              </w:r>
                            </w:p>
                          </w:txbxContent>
                        </wps:txbx>
                        <wps:bodyPr anchorCtr="0" anchor="t" bIns="35750" lIns="35750" spcFirstLastPara="1" rIns="35750" wrap="square" tIns="35750">
                          <a:noAutofit/>
                        </wps:bodyPr>
                      </wps:wsp>
                      <wps:wsp>
                        <wps:cNvSpPr/>
                        <wps:cNvPr id="84" name="Shape 84"/>
                        <wps:spPr>
                          <a:xfrm>
                            <a:off x="4201022" y="200050"/>
                            <a:ext cx="1022400" cy="449100"/>
                          </a:xfrm>
                          <a:prstGeom prst="roundRect">
                            <a:avLst>
                              <a:gd fmla="val 16667" name="adj"/>
                            </a:avLst>
                          </a:prstGeom>
                          <a:solidFill>
                            <a:srgbClr val="FFFFFF"/>
                          </a:solid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Canopy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Structure</w:t>
                              </w:r>
                            </w:p>
                          </w:txbxContent>
                        </wps:txbx>
                        <wps:bodyPr anchorCtr="0" anchor="ctr" bIns="91425" lIns="91425" spcFirstLastPara="1" rIns="91425" wrap="square" tIns="91425">
                          <a:noAutofit/>
                        </wps:bodyPr>
                      </wps:wsp>
                      <wps:wsp>
                        <wps:cNvSpPr/>
                        <wps:cNvPr id="85" name="Shape 85"/>
                        <wps:spPr>
                          <a:xfrm>
                            <a:off x="203885" y="4001325"/>
                            <a:ext cx="953700" cy="840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vertAlign w:val="baseline"/>
                                </w:rPr>
                                <w:t xml:space="preserve">Ensemble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0"/>
                                  <w:vertAlign w:val="baseline"/>
                                </w:rPr>
                              </w:r>
                              <w:r w:rsidDel="00000000" w:rsidR="00000000" w:rsidRPr="00000000">
                                <w:rPr>
                                  <w:rFonts w:ascii="Arial" w:cs="Arial" w:eastAsia="Arial" w:hAnsi="Arial"/>
                                  <w:b w:val="0"/>
                                  <w:i w:val="0"/>
                                  <w:smallCaps w:val="0"/>
                                  <w:strike w:val="0"/>
                                  <w:color w:val="ffffff"/>
                                  <w:sz w:val="20"/>
                                  <w:vertAlign w:val="baseline"/>
                                </w:rPr>
                                <w:t xml:space="preserve"> </w:t>
                              </w:r>
                            </w:p>
                          </w:txbxContent>
                        </wps:txbx>
                        <wps:bodyPr anchorCtr="0" anchor="ctr" bIns="91425" lIns="91425" spcFirstLastPara="1" rIns="91425" wrap="square" tIns="91425">
                          <a:noAutofit/>
                        </wps:bodyPr>
                      </wps:wsp>
                      <wps:wsp>
                        <wps:cNvSpPr txBox="1"/>
                        <wps:cNvPr id="86" name="Shape 86"/>
                        <wps:spPr>
                          <a:xfrm>
                            <a:off x="2034842" y="3926587"/>
                            <a:ext cx="18339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Ecosystem Assessment</w:t>
                              </w:r>
                            </w:p>
                          </w:txbxContent>
                        </wps:txbx>
                        <wps:bodyPr anchorCtr="0" anchor="t" bIns="91425" lIns="91425" spcFirstLastPara="1" rIns="91425" wrap="square" tIns="91425">
                          <a:noAutofit/>
                        </wps:bodyPr>
                      </wps:wsp>
                      <wps:wsp>
                        <wps:cNvSpPr/>
                        <wps:cNvPr id="87" name="Shape 87"/>
                        <wps:spPr>
                          <a:xfrm>
                            <a:off x="1325678" y="4251113"/>
                            <a:ext cx="512700" cy="389400"/>
                          </a:xfrm>
                          <a:prstGeom prst="righ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a:off x="1027728" y="2795758"/>
                            <a:ext cx="685200" cy="570361"/>
                            <a:chOff x="966374" y="2673050"/>
                            <a:chExt cx="685200" cy="570361"/>
                          </a:xfrm>
                        </wpg:grpSpPr>
                        <wps:wsp>
                          <wps:cNvSpPr txBox="1"/>
                          <wps:cNvPr id="89" name="Shape 89"/>
                          <wps:spPr>
                            <a:xfrm>
                              <a:off x="966374" y="2673050"/>
                              <a:ext cx="685200" cy="29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14"/>
                                    <w:vertAlign w:val="baseline"/>
                                  </w:rPr>
                                  <w:t xml:space="preserve">Approach</w:t>
                                </w:r>
                              </w:p>
                            </w:txbxContent>
                          </wps:txbx>
                          <wps:bodyPr anchorCtr="0" anchor="t" bIns="91425" lIns="91425" spcFirstLastPara="1" rIns="91425" wrap="square" tIns="91425">
                            <a:noAutofit/>
                          </wps:bodyPr>
                        </wps:wsp>
                        <wpg:grpSp>
                          <wpg:cNvGrpSpPr/>
                          <wpg:grpSpPr>
                            <a:xfrm>
                              <a:off x="1060496" y="2872396"/>
                              <a:ext cx="389646" cy="371015"/>
                              <a:chOff x="1050271" y="3066683"/>
                              <a:chExt cx="389646" cy="371015"/>
                            </a:xfrm>
                          </wpg:grpSpPr>
                          <wps:wsp>
                            <wps:cNvSpPr/>
                            <wps:cNvPr id="91" name="Shape 91"/>
                            <wps:spPr>
                              <a:xfrm>
                                <a:off x="1144271" y="3066683"/>
                                <a:ext cx="204600" cy="219600"/>
                              </a:xfrm>
                              <a:prstGeom prst="ellipse">
                                <a:avLst/>
                              </a:prstGeom>
                              <a:solidFill>
                                <a:srgbClr val="458B7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2" name="Shape 92"/>
                            <wps:spPr>
                              <a:xfrm>
                                <a:off x="1235317" y="3198632"/>
                                <a:ext cx="204600" cy="219600"/>
                              </a:xfrm>
                              <a:prstGeom prst="ellipse">
                                <a:avLst/>
                              </a:prstGeom>
                              <a:solidFill>
                                <a:srgbClr val="8D3F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3" name="Shape 93"/>
                            <wps:spPr>
                              <a:xfrm>
                                <a:off x="1050271" y="3218098"/>
                                <a:ext cx="204600" cy="219600"/>
                              </a:xfrm>
                              <a:prstGeom prst="ellipse">
                                <a:avLst/>
                              </a:prstGeom>
                              <a:solidFill>
                                <a:srgbClr val="BF9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grpSp>
                      <wpg:grpSp>
                        <wpg:cNvGrpSpPr/>
                        <wpg:grpSpPr>
                          <a:xfrm>
                            <a:off x="1630749" y="2782380"/>
                            <a:ext cx="567600" cy="639097"/>
                            <a:chOff x="2428615" y="2661085"/>
                            <a:chExt cx="567600" cy="639097"/>
                          </a:xfrm>
                        </wpg:grpSpPr>
                        <wps:wsp>
                          <wps:cNvSpPr txBox="1"/>
                          <wps:cNvPr id="95" name="Shape 95"/>
                          <wps:spPr>
                            <a:xfrm>
                              <a:off x="2428615" y="2661085"/>
                              <a:ext cx="567600" cy="21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Season</w:t>
                                </w:r>
                              </w:p>
                            </w:txbxContent>
                          </wps:txbx>
                          <wps:bodyPr anchorCtr="0" anchor="t" bIns="91425" lIns="91425" spcFirstLastPara="1" rIns="91425" wrap="square" tIns="91425">
                            <a:noAutofit/>
                          </wps:bodyPr>
                        </wps:wsp>
                        <wps:wsp>
                          <wps:cNvSpPr/>
                          <wps:cNvPr id="96" name="Shape 96"/>
                          <wps:spPr>
                            <a:xfrm>
                              <a:off x="2490813" y="2883932"/>
                              <a:ext cx="204600" cy="194700"/>
                            </a:xfrm>
                            <a:prstGeom prst="roundRect">
                              <a:avLst>
                                <a:gd fmla="val 16667" name="adj"/>
                              </a:avLst>
                            </a:prstGeom>
                            <a:solidFill>
                              <a:srgbClr val="C7A76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7" name="Shape 97"/>
                          <wps:spPr>
                            <a:xfrm>
                              <a:off x="2726994" y="2885679"/>
                              <a:ext cx="204600" cy="194700"/>
                            </a:xfrm>
                            <a:prstGeom prst="roundRect">
                              <a:avLst>
                                <a:gd fmla="val 16667" name="adj"/>
                              </a:avLst>
                            </a:prstGeom>
                            <a:solidFill>
                              <a:srgbClr val="5CBD92"/>
                            </a:solidFill>
                            <a:ln cap="flat" cmpd="sng" w="9525">
                              <a:solidFill>
                                <a:srgbClr val="86B8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8" name="Shape 98"/>
                          <wps:spPr>
                            <a:xfrm>
                              <a:off x="2486263" y="3105482"/>
                              <a:ext cx="204600" cy="194700"/>
                            </a:xfrm>
                            <a:prstGeom prst="roundRect">
                              <a:avLst>
                                <a:gd fmla="val 16667" name="adj"/>
                              </a:avLst>
                            </a:prstGeom>
                            <a:solidFill>
                              <a:srgbClr val="3ABE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9" name="Shape 99"/>
                          <wps:spPr>
                            <a:xfrm>
                              <a:off x="2730694" y="3104497"/>
                              <a:ext cx="204600" cy="194700"/>
                            </a:xfrm>
                            <a:prstGeom prst="roundRect">
                              <a:avLst>
                                <a:gd fmla="val 16667" name="adj"/>
                              </a:avLst>
                            </a:prstGeom>
                            <a:solidFill>
                              <a:srgbClr val="7DB0D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txBox="1"/>
                        <wps:cNvPr id="100" name="Shape 100"/>
                        <wps:spPr>
                          <a:xfrm>
                            <a:off x="245421" y="2852947"/>
                            <a:ext cx="882900" cy="57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t xml:space="preserve">Sample Size</w:t>
                              </w:r>
                            </w:p>
                          </w:txbxContent>
                        </wps:txbx>
                        <wps:bodyPr anchorCtr="0" anchor="t" bIns="91425" lIns="91425" spcFirstLastPara="1" rIns="91425" wrap="square" tIns="91425">
                          <a:noAutofit/>
                        </wps:bodyPr>
                      </wps:wsp>
                      <wps:wsp>
                        <wps:cNvSpPr txBox="1"/>
                        <wps:cNvPr id="101" name="Shape 101"/>
                        <wps:spPr>
                          <a:xfrm>
                            <a:off x="2273380" y="2708007"/>
                            <a:ext cx="464700" cy="185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Hour</w:t>
                              </w:r>
                            </w:p>
                          </w:txbxContent>
                        </wps:txbx>
                        <wps:bodyPr anchorCtr="0" anchor="t" bIns="91425" lIns="91425" spcFirstLastPara="1" rIns="91425" wrap="square" tIns="91425">
                          <a:noAutofit/>
                        </wps:bodyPr>
                      </wps:wsp>
                      <pic:pic>
                        <pic:nvPicPr>
                          <pic:cNvPr id="102" name="Shape 102"/>
                          <pic:cNvPicPr preferRelativeResize="0"/>
                        </pic:nvPicPr>
                        <pic:blipFill rotWithShape="1">
                          <a:blip r:embed="rId80">
                            <a:alphaModFix/>
                          </a:blip>
                          <a:srcRect b="77080" l="78967" r="2467" t="21503"/>
                          <a:stretch/>
                        </pic:blipFill>
                        <pic:spPr>
                          <a:xfrm>
                            <a:off x="2313517" y="2925511"/>
                            <a:ext cx="450900" cy="132600"/>
                          </a:xfrm>
                          <a:prstGeom prst="rect">
                            <a:avLst/>
                          </a:prstGeom>
                          <a:noFill/>
                          <a:ln>
                            <a:noFill/>
                          </a:ln>
                        </pic:spPr>
                      </pic:pic>
                      <wpg:grpSp>
                        <wpg:cNvGrpSpPr/>
                        <wpg:grpSpPr>
                          <a:xfrm>
                            <a:off x="2906217" y="4436775"/>
                            <a:ext cx="449031" cy="416250"/>
                            <a:chOff x="2486263" y="2883932"/>
                            <a:chExt cx="449031" cy="416250"/>
                          </a:xfrm>
                        </wpg:grpSpPr>
                        <wps:wsp>
                          <wps:cNvSpPr/>
                          <wps:cNvPr id="104" name="Shape 104"/>
                          <wps:spPr>
                            <a:xfrm>
                              <a:off x="2490813" y="2883932"/>
                              <a:ext cx="204600" cy="194700"/>
                            </a:xfrm>
                            <a:prstGeom prst="roundRect">
                              <a:avLst>
                                <a:gd fmla="val 16667" name="adj"/>
                              </a:avLst>
                            </a:prstGeom>
                            <a:solidFill>
                              <a:srgbClr val="C7A76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5" name="Shape 105"/>
                          <wps:spPr>
                            <a:xfrm>
                              <a:off x="2726994" y="2885679"/>
                              <a:ext cx="204600" cy="194700"/>
                            </a:xfrm>
                            <a:prstGeom prst="roundRect">
                              <a:avLst>
                                <a:gd fmla="val 16667" name="adj"/>
                              </a:avLst>
                            </a:prstGeom>
                            <a:solidFill>
                              <a:srgbClr val="5CBD92"/>
                            </a:solidFill>
                            <a:ln cap="flat" cmpd="sng" w="9525">
                              <a:solidFill>
                                <a:srgbClr val="86B8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6" name="Shape 106"/>
                          <wps:spPr>
                            <a:xfrm>
                              <a:off x="2486263" y="3105482"/>
                              <a:ext cx="204600" cy="194700"/>
                            </a:xfrm>
                            <a:prstGeom prst="roundRect">
                              <a:avLst>
                                <a:gd fmla="val 16667" name="adj"/>
                              </a:avLst>
                            </a:prstGeom>
                            <a:solidFill>
                              <a:srgbClr val="3ABE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a:off x="2730694" y="3104497"/>
                              <a:ext cx="204600" cy="194700"/>
                            </a:xfrm>
                            <a:prstGeom prst="roundRect">
                              <a:avLst>
                                <a:gd fmla="val 16667" name="adj"/>
                              </a:avLst>
                            </a:prstGeom>
                            <a:solidFill>
                              <a:srgbClr val="7DB0D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wps:cNvPr id="108" name="Shape 108"/>
                        <wps:spPr>
                          <a:xfrm>
                            <a:off x="1569618" y="3622313"/>
                            <a:ext cx="567600" cy="570300"/>
                          </a:xfrm>
                          <a:prstGeom prst="ellipse">
                            <a:avLst/>
                          </a:prstGeom>
                          <a:solidFill>
                            <a:srgbClr val="274E13">
                              <a:alpha val="60759"/>
                            </a:srgbClr>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Q3</w:t>
                              </w:r>
                            </w:p>
                          </w:txbxContent>
                        </wps:txbx>
                        <wps:bodyPr anchorCtr="0" anchor="ctr" bIns="91425" lIns="91425" spcFirstLastPara="1" rIns="91425" wrap="square" tIns="91425">
                          <a:noAutofit/>
                        </wps:bodyPr>
                      </wps:wsp>
                      <wps:wsp>
                        <wps:cNvSpPr/>
                        <wps:cNvPr id="109" name="Shape 109"/>
                        <wps:spPr>
                          <a:xfrm>
                            <a:off x="30677" y="2324853"/>
                            <a:ext cx="567600" cy="570300"/>
                          </a:xfrm>
                          <a:prstGeom prst="ellipse">
                            <a:avLst/>
                          </a:prstGeom>
                          <a:solidFill>
                            <a:srgbClr val="274E13">
                              <a:alpha val="60759"/>
                            </a:srgbClr>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Q1</w:t>
                              </w:r>
                            </w:p>
                          </w:txbxContent>
                        </wps:txbx>
                        <wps:bodyPr anchorCtr="0" anchor="ctr" bIns="91425" lIns="91425" spcFirstLastPara="1" rIns="91425" wrap="square" tIns="91425">
                          <a:noAutofit/>
                        </wps:bodyPr>
                      </wps:wsp>
                      <wps:wsp>
                        <wps:cNvSpPr/>
                        <wps:cNvPr id="110" name="Shape 110"/>
                        <wps:spPr>
                          <a:xfrm rot="188182">
                            <a:off x="2197028" y="4545171"/>
                            <a:ext cx="450940" cy="261026"/>
                          </a:xfrm>
                          <a:custGeom>
                            <a:rect b="b" l="l" r="r" t="t"/>
                            <a:pathLst>
                              <a:path extrusionOk="0" h="12496" w="42538">
                                <a:moveTo>
                                  <a:pt x="0" y="2454"/>
                                </a:moveTo>
                                <a:cubicBezTo>
                                  <a:pt x="3147" y="2454"/>
                                  <a:pt x="6890" y="1383"/>
                                  <a:pt x="9407" y="3272"/>
                                </a:cubicBezTo>
                                <a:cubicBezTo>
                                  <a:pt x="14101" y="6795"/>
                                  <a:pt x="18847" y="13694"/>
                                  <a:pt x="24541" y="12271"/>
                                </a:cubicBezTo>
                                <a:cubicBezTo>
                                  <a:pt x="28848" y="11194"/>
                                  <a:pt x="30401" y="5593"/>
                                  <a:pt x="33540" y="2454"/>
                                </a:cubicBezTo>
                                <a:cubicBezTo>
                                  <a:pt x="35738" y="256"/>
                                  <a:pt x="39429" y="0"/>
                                  <a:pt x="42538" y="0"/>
                                </a:cubicBezTo>
                              </a:path>
                            </a:pathLst>
                          </a:custGeom>
                          <a:noFill/>
                          <a:ln cap="flat" cmpd="sng" w="9525">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SpPr/>
                        <wps:cNvPr id="111" name="Shape 111"/>
                        <wps:spPr>
                          <a:xfrm rot="187995">
                            <a:off x="2195828" y="4538564"/>
                            <a:ext cx="428040" cy="162598"/>
                          </a:xfrm>
                          <a:custGeom>
                            <a:rect b="b" l="l" r="r" t="t"/>
                            <a:pathLst>
                              <a:path extrusionOk="0" h="12496" w="42538">
                                <a:moveTo>
                                  <a:pt x="0" y="2454"/>
                                </a:moveTo>
                                <a:cubicBezTo>
                                  <a:pt x="3147" y="2454"/>
                                  <a:pt x="6890" y="1383"/>
                                  <a:pt x="9407" y="3272"/>
                                </a:cubicBezTo>
                                <a:cubicBezTo>
                                  <a:pt x="14101" y="6795"/>
                                  <a:pt x="18847" y="13694"/>
                                  <a:pt x="24541" y="12271"/>
                                </a:cubicBezTo>
                                <a:cubicBezTo>
                                  <a:pt x="28848" y="11194"/>
                                  <a:pt x="30401" y="5593"/>
                                  <a:pt x="33540" y="2454"/>
                                </a:cubicBezTo>
                                <a:cubicBezTo>
                                  <a:pt x="35738" y="256"/>
                                  <a:pt x="39429" y="0"/>
                                  <a:pt x="42538" y="0"/>
                                </a:cubicBezTo>
                              </a:path>
                            </a:pathLst>
                          </a:custGeom>
                          <a:noFill/>
                          <a:ln cap="flat" cmpd="sng" w="19050">
                            <a:solidFill>
                              <a:srgbClr val="FFFFFF"/>
                            </a:solidFill>
                            <a:prstDash val="dot"/>
                            <a:round/>
                            <a:headEnd len="med" w="med" type="none"/>
                            <a:tailEnd len="med" w="med" type="none"/>
                          </a:ln>
                        </wps:spPr>
                        <wps:bodyPr anchorCtr="0" anchor="ctr" bIns="91425" lIns="91425" spcFirstLastPara="1" rIns="91425" wrap="square" tIns="91425">
                          <a:noAutofit/>
                        </wps:bodyPr>
                      </wps:wsp>
                      <wps:wsp>
                        <wps:cNvCnPr/>
                        <wps:spPr>
                          <a:xfrm>
                            <a:off x="4712222" y="649150"/>
                            <a:ext cx="7200" cy="12354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80735" y="3423225"/>
                            <a:ext cx="6000" cy="5781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4" name="Shape 114"/>
                        <wps:spPr>
                          <a:xfrm>
                            <a:off x="5228025" y="1488497"/>
                            <a:ext cx="567600" cy="570300"/>
                          </a:xfrm>
                          <a:prstGeom prst="ellipse">
                            <a:avLst/>
                          </a:prstGeom>
                          <a:solidFill>
                            <a:srgbClr val="274E13">
                              <a:alpha val="60759"/>
                            </a:srgbClr>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Q2</w:t>
                              </w:r>
                            </w:p>
                          </w:txbxContent>
                        </wps:txbx>
                        <wps:bodyPr anchorCtr="0" anchor="ctr" bIns="91425" lIns="91425" spcFirstLastPara="1" rIns="91425" wrap="square" tIns="91425">
                          <a:noAutofit/>
                        </wps:bodyPr>
                      </wps:wsp>
                      <wpg:grpSp>
                        <wpg:cNvGrpSpPr/>
                        <wpg:grpSpPr>
                          <a:xfrm>
                            <a:off x="3964816" y="3093761"/>
                            <a:ext cx="389646" cy="371015"/>
                            <a:chOff x="1050271" y="3066683"/>
                            <a:chExt cx="389646" cy="371015"/>
                          </a:xfrm>
                        </wpg:grpSpPr>
                        <wps:wsp>
                          <wps:cNvSpPr/>
                          <wps:cNvPr id="116" name="Shape 116"/>
                          <wps:spPr>
                            <a:xfrm>
                              <a:off x="1144271" y="3066683"/>
                              <a:ext cx="204600" cy="219600"/>
                            </a:xfrm>
                            <a:prstGeom prst="ellipse">
                              <a:avLst/>
                            </a:prstGeom>
                            <a:solidFill>
                              <a:srgbClr val="458B7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7" name="Shape 117"/>
                          <wps:spPr>
                            <a:xfrm>
                              <a:off x="1235317" y="3198632"/>
                              <a:ext cx="204600" cy="219600"/>
                            </a:xfrm>
                            <a:prstGeom prst="ellipse">
                              <a:avLst/>
                            </a:prstGeom>
                            <a:solidFill>
                              <a:srgbClr val="8D3F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8" name="Shape 118"/>
                          <wps:spPr>
                            <a:xfrm>
                              <a:off x="1050271" y="3218098"/>
                              <a:ext cx="204600" cy="219600"/>
                            </a:xfrm>
                            <a:prstGeom prst="ellipse">
                              <a:avLst/>
                            </a:prstGeom>
                            <a:solidFill>
                              <a:srgbClr val="BF90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CnPr/>
                        <wps:spPr>
                          <a:xfrm>
                            <a:off x="460157" y="4765162"/>
                            <a:ext cx="408900" cy="102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60157" y="4437862"/>
                            <a:ext cx="0" cy="3273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80608" y="4458509"/>
                            <a:ext cx="265800" cy="286200"/>
                          </a:xfrm>
                          <a:prstGeom prst="straightConnector1">
                            <a:avLst/>
                          </a:prstGeom>
                          <a:noFill/>
                          <a:ln cap="flat" cmpd="sng" w="28575">
                            <a:solidFill>
                              <a:srgbClr val="FFFFFF"/>
                            </a:solidFill>
                            <a:prstDash val="dot"/>
                            <a:round/>
                            <a:headEnd len="med" w="med" type="none"/>
                            <a:tailEnd len="med" w="med" type="none"/>
                          </a:ln>
                        </wps:spPr>
                        <wps:bodyPr anchorCtr="0" anchor="ctr" bIns="91425" lIns="91425" spcFirstLastPara="1" rIns="91425" wrap="square" tIns="91425">
                          <a:noAutofit/>
                        </wps:bodyPr>
                      </wps:wsp>
                      <wps:wsp>
                        <wps:cNvSpPr/>
                        <wps:cNvPr id="122" name="Shape 122"/>
                        <wps:spPr>
                          <a:xfrm>
                            <a:off x="3261658" y="2929020"/>
                            <a:ext cx="512700" cy="389400"/>
                          </a:xfrm>
                          <a:prstGeom prst="righ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686840" y="2336349"/>
                            <a:ext cx="3300" cy="5166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2254614" y="2986920"/>
                            <a:ext cx="567600" cy="428508"/>
                            <a:chOff x="2889855" y="2784805"/>
                            <a:chExt cx="567600" cy="428508"/>
                          </a:xfrm>
                        </wpg:grpSpPr>
                        <wps:wsp>
                          <wps:cNvSpPr txBox="1"/>
                          <wps:cNvPr id="125" name="Shape 125"/>
                          <wps:spPr>
                            <a:xfrm>
                              <a:off x="2889855" y="2784805"/>
                              <a:ext cx="567600" cy="21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Canopy</w:t>
                                </w:r>
                              </w:p>
                            </w:txbxContent>
                          </wps:txbx>
                          <wps:bodyPr anchorCtr="0" anchor="t" bIns="91425" lIns="91425" spcFirstLastPara="1" rIns="91425" wrap="square" tIns="91425">
                            <a:noAutofit/>
                          </wps:bodyPr>
                        </wps:wsp>
                        <wps:wsp>
                          <wps:cNvSpPr/>
                          <wps:cNvPr id="126" name="Shape 126"/>
                          <wps:spPr>
                            <a:xfrm>
                              <a:off x="2950967" y="3016865"/>
                              <a:ext cx="204600" cy="194700"/>
                            </a:xfrm>
                            <a:prstGeom prst="roundRect">
                              <a:avLst>
                                <a:gd fmla="val 16667" name="adj"/>
                              </a:avLst>
                            </a:prstGeom>
                            <a:solidFill>
                              <a:srgbClr val="EF3B8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7" name="Shape 127"/>
                          <wps:spPr>
                            <a:xfrm>
                              <a:off x="3187148" y="3018613"/>
                              <a:ext cx="204600" cy="194700"/>
                            </a:xfrm>
                            <a:prstGeom prst="roundRect">
                              <a:avLst>
                                <a:gd fmla="val 16667" name="adj"/>
                              </a:avLst>
                            </a:prstGeom>
                            <a:solidFill>
                              <a:srgbClr val="FF8C6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CnPr/>
                        <wps:spPr>
                          <a:xfrm>
                            <a:off x="3557543" y="4784628"/>
                            <a:ext cx="408900" cy="102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557543" y="4457328"/>
                            <a:ext cx="0" cy="3273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577994" y="4477976"/>
                            <a:ext cx="265800" cy="286200"/>
                          </a:xfrm>
                          <a:prstGeom prst="straightConnector1">
                            <a:avLst/>
                          </a:prstGeom>
                          <a:noFill/>
                          <a:ln cap="flat" cmpd="sng" w="28575">
                            <a:solidFill>
                              <a:srgbClr val="FFFFFF"/>
                            </a:solidFill>
                            <a:prstDash val="dot"/>
                            <a:round/>
                            <a:headEnd len="med" w="med" type="none"/>
                            <a:tailEnd len="med" w="med" type="none"/>
                          </a:ln>
                        </wps:spPr>
                        <wps:bodyPr anchorCtr="0" anchor="ctr" bIns="91425" lIns="91425" spcFirstLastPara="1" rIns="91425" wrap="square" tIns="91425">
                          <a:noAutofit/>
                        </wps:bodyPr>
                      </wps:wsp>
                      <wps:wsp>
                        <wps:cNvSpPr/>
                        <wps:cNvPr id="131" name="Shape 131"/>
                        <wps:spPr>
                          <a:xfrm>
                            <a:off x="3006625" y="4502250"/>
                            <a:ext cx="265800" cy="285300"/>
                          </a:xfrm>
                          <a:prstGeom prst="rightArrow">
                            <a:avLst>
                              <a:gd fmla="val 50000" name="adj1"/>
                              <a:gd fmla="val 50000" name="adj2"/>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33938" cy="4079875"/>
                <wp:effectExtent b="0" l="0" r="0" t="0"/>
                <wp:docPr id="4" name="image8.png"/>
                <a:graphic>
                  <a:graphicData uri="http://schemas.openxmlformats.org/drawingml/2006/picture">
                    <pic:pic>
                      <pic:nvPicPr>
                        <pic:cNvPr id="0" name="image8.png"/>
                        <pic:cNvPicPr preferRelativeResize="0"/>
                      </pic:nvPicPr>
                      <pic:blipFill>
                        <a:blip r:embed="rId40"/>
                        <a:srcRect/>
                        <a:stretch>
                          <a:fillRect/>
                        </a:stretch>
                      </pic:blipFill>
                      <pic:spPr>
                        <a:xfrm>
                          <a:off x="0" y="0"/>
                          <a:ext cx="4833938" cy="4079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4">
      <w:pPr>
        <w:spacing w:after="0" w:before="0" w:line="240" w:lineRule="auto"/>
        <w:ind w:left="0" w:firstLine="0"/>
        <w:rPr/>
      </w:pPr>
      <w:r w:rsidDel="00000000" w:rsidR="00000000" w:rsidRPr="00000000">
        <w:rPr>
          <w:rtl w:val="0"/>
        </w:rPr>
        <w:t xml:space="preserve">Figure 2</w:t>
      </w:r>
      <w:r w:rsidDel="00000000" w:rsidR="00000000" w:rsidRPr="00000000">
        <w:rPr>
          <w:rtl w:val="0"/>
        </w:rPr>
        <w:t xml:space="preserve">. This workflow was designed to explore when and where the gradient flux (GF) method produces reliable ecosystem fluxes of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using the eddy covariance (EC) method as a benchmark. Guiding questions include: How well does the GF method perform across different ecosystems (Q1)? Which sampling height pairs provide reliable ecosystem fluxes (Q2)? Does the GF method provide a valid ecosystem assessment (Q3)? We used a moderate concordance (CCC) threshold of 0.5 when comparing GFs to EC and to GFs at different sampling height pairs (Table S1).</w:t>
      </w:r>
      <w:r w:rsidDel="00000000" w:rsidR="00000000" w:rsidRPr="00000000">
        <w:rPr>
          <w:rtl w:val="0"/>
        </w:rPr>
      </w:r>
    </w:p>
    <w:p w:rsidR="00000000" w:rsidDel="00000000" w:rsidP="00000000" w:rsidRDefault="00000000" w:rsidRPr="00000000" w14:paraId="000000E5">
      <w:pPr>
        <w:pStyle w:val="Heading1"/>
        <w:numPr>
          <w:ilvl w:val="0"/>
          <w:numId w:val="1"/>
        </w:numPr>
        <w:spacing w:after="240" w:before="240" w:line="240" w:lineRule="auto"/>
        <w:ind w:left="450" w:hanging="360"/>
        <w:rPr/>
      </w:pPr>
      <w:bookmarkStart w:colFirst="0" w:colLast="0" w:name="_kdntjnh85zr3" w:id="13"/>
      <w:bookmarkEnd w:id="13"/>
      <w:r w:rsidDel="00000000" w:rsidR="00000000" w:rsidRPr="00000000">
        <w:rPr>
          <w:rtl w:val="0"/>
        </w:rPr>
        <w:t xml:space="preserve">Result</w:t>
      </w:r>
      <w:r w:rsidDel="00000000" w:rsidR="00000000" w:rsidRPr="00000000">
        <w:rPr>
          <w:rtl w:val="0"/>
        </w:rPr>
        <w:t xml:space="preserve">s</w:t>
      </w:r>
    </w:p>
    <w:p w:rsidR="00000000" w:rsidDel="00000000" w:rsidP="00000000" w:rsidRDefault="00000000" w:rsidRPr="00000000" w14:paraId="000000E6">
      <w:pPr>
        <w:spacing w:after="240" w:before="240" w:lineRule="auto"/>
        <w:rPr/>
      </w:pPr>
      <w:r w:rsidDel="00000000" w:rsidR="00000000" w:rsidRPr="00000000">
        <w:rPr>
          <w:rtl w:val="0"/>
        </w:rPr>
        <w:t xml:space="preserve">All of the 47 terrestrial NEON tower sites had GF </w:t>
      </w:r>
      <w:r w:rsidDel="00000000" w:rsidR="00000000" w:rsidRPr="00000000">
        <w:rPr>
          <w:rtl w:val="0"/>
        </w:rPr>
        <w:t xml:space="preserve">data </w:t>
      </w:r>
      <w:r w:rsidDel="00000000" w:rsidR="00000000" w:rsidRPr="00000000">
        <w:rPr>
          <w:rtl w:val="0"/>
        </w:rPr>
        <w:t xml:space="preserve">after filtering for u* and SNR. The GFs were distributed across approaches and canopy levels (AA and AW). While all GFs captured combinations of ecosystem components (soil and canopy) to varying degrees, the challenge was to determine which sampling height pairs were representative of the ecosystem scale flux by measuring their concordance with the EC method.</w:t>
      </w:r>
    </w:p>
    <w:p w:rsidR="00000000" w:rsidDel="00000000" w:rsidP="00000000" w:rsidRDefault="00000000" w:rsidRPr="00000000" w14:paraId="000000E7">
      <w:pPr>
        <w:spacing w:after="240" w:before="240" w:lineRule="auto"/>
        <w:ind w:firstLine="0"/>
        <w:rPr>
          <w:i w:val="1"/>
          <w:iCs w:val="1"/>
        </w:rPr>
      </w:pPr>
      <w:r w:rsidDel="00000000" w:rsidR="00000000" w:rsidRPr="00000000">
        <w:rPr>
          <w:i w:val="1"/>
          <w:iCs w:val="1"/>
          <w:rtl w:val="0"/>
        </w:rPr>
        <w:t xml:space="preserve">3.1. </w:t>
      </w:r>
      <w:r w:rsidDel="00000000" w:rsidR="00000000" w:rsidRPr="00000000">
        <w:rPr>
          <w:i w:val="1"/>
          <w:iCs w:val="1"/>
          <w:rtl w:val="0"/>
        </w:rPr>
        <w:t xml:space="preserve">Gradient Flux Method Evaluation</w:t>
      </w:r>
      <w:r w:rsidDel="00000000" w:rsidR="00000000" w:rsidRPr="00000000">
        <w:rPr>
          <w:rtl w:val="0"/>
        </w:rPr>
      </w:r>
    </w:p>
    <w:p w:rsidR="00000000" w:rsidDel="00000000" w:rsidP="00000000" w:rsidRDefault="00000000" w:rsidRPr="00000000" w14:paraId="000000E8">
      <w:pPr>
        <w:spacing w:after="240" w:before="240" w:line="240" w:lineRule="auto"/>
        <w:ind w:left="0" w:firstLine="720"/>
        <w:rPr/>
      </w:pPr>
      <w:r w:rsidDel="00000000" w:rsidR="00000000" w:rsidRPr="00000000">
        <w:rPr>
          <w:rtl w:val="0"/>
        </w:rPr>
        <w:t xml:space="preserve">The CCC (EC) for all sampling height pairs ranged from </w:t>
      </w:r>
      <w:r w:rsidDel="00000000" w:rsidR="00000000" w:rsidRPr="00000000">
        <w:rPr>
          <w:rtl w:val="0"/>
        </w:rPr>
        <w:t xml:space="preserve">-0.66 to 0.97</w:t>
      </w:r>
      <w:r w:rsidDel="00000000" w:rsidR="00000000" w:rsidRPr="00000000">
        <w:rPr>
          <w:rtl w:val="0"/>
        </w:rPr>
        <w:t xml:space="preserve">, with notable differences observed between approaches (MBR, AE, WP) and canopy levels (AA and AW; Figure 3). The range in CCC (EC) observed suggests that some sampling height pairs yielded GFs</w:t>
      </w:r>
      <w:r w:rsidDel="00000000" w:rsidR="00000000" w:rsidRPr="00000000">
        <w:rPr>
          <w:highlight w:val="white"/>
          <w:rtl w:val="0"/>
        </w:rPr>
        <w:t xml:space="preserve"> that aligned with the EC method. </w:t>
      </w:r>
      <w:r w:rsidDel="00000000" w:rsidR="00000000" w:rsidRPr="00000000">
        <w:rPr>
          <w:rtl w:val="0"/>
        </w:rPr>
        <w:t xml:space="preserve">On average, the mean CCC (EC) for CO</w:t>
      </w:r>
      <w:r w:rsidDel="00000000" w:rsidR="00000000" w:rsidRPr="00000000">
        <w:rPr>
          <w:vertAlign w:val="subscript"/>
          <w:rtl w:val="0"/>
        </w:rPr>
        <w:t xml:space="preserve">2</w:t>
      </w:r>
      <w:r w:rsidDel="00000000" w:rsidR="00000000" w:rsidRPr="00000000">
        <w:rPr>
          <w:rtl w:val="0"/>
        </w:rPr>
        <w:t xml:space="preserve"> was higher for the MBR (</w:t>
      </w:r>
      <m:oMath>
        <m:bar>
          <m:barPr>
            <m:pos/>
            <m:ctrlPr>
              <w:rPr/>
            </m:ctrlPr>
          </m:barPr>
          <m:e>
            <m:r>
              <w:rPr/>
              <m:t xml:space="preserve">CCC</m:t>
            </m:r>
          </m:e>
        </m:bar>
      </m:oMath>
      <w:r w:rsidDel="00000000" w:rsidR="00000000" w:rsidRPr="00000000">
        <w:rPr>
          <w:rtl w:val="0"/>
        </w:rPr>
        <w:t xml:space="preserve"> = 0.27; p &lt; 0.001) than the AE </w:t>
      </w:r>
      <w:r w:rsidDel="00000000" w:rsidR="00000000" w:rsidRPr="00000000">
        <w:rPr>
          <w:rtl w:val="0"/>
        </w:rPr>
        <w:t xml:space="preserve">(</w:t>
      </w:r>
      <m:oMath>
        <m:bar>
          <m:barPr>
            <m:pos/>
            <m:ctrlPr>
              <w:rPr/>
            </m:ctrlPr>
          </m:barPr>
          <m:e>
            <m:r>
              <w:rPr/>
              <m:t xml:space="preserve">CCC</m:t>
            </m:r>
          </m:e>
        </m:bar>
      </m:oMath>
      <w:r w:rsidDel="00000000" w:rsidR="00000000" w:rsidRPr="00000000">
        <w:rPr>
          <w:rtl w:val="0"/>
        </w:rPr>
        <w:t xml:space="preserve"> = 0.09; p &lt; 0.001) </w:t>
      </w:r>
      <w:r w:rsidDel="00000000" w:rsidR="00000000" w:rsidRPr="00000000">
        <w:rPr>
          <w:rtl w:val="0"/>
        </w:rPr>
        <w:t xml:space="preserve">and WP </w:t>
      </w:r>
      <w:r w:rsidDel="00000000" w:rsidR="00000000" w:rsidRPr="00000000">
        <w:rPr>
          <w:rtl w:val="0"/>
        </w:rPr>
        <w:t xml:space="preserve">( </w:t>
      </w:r>
      <m:oMath>
        <m:bar>
          <m:barPr>
            <m:pos/>
            <m:ctrlPr>
              <w:rPr/>
            </m:ctrlPr>
          </m:barPr>
          <m:e>
            <m:r>
              <w:rPr/>
              <m:t xml:space="preserve">CCC</m:t>
            </m:r>
          </m:e>
        </m:bar>
      </m:oMath>
      <w:r w:rsidDel="00000000" w:rsidR="00000000" w:rsidRPr="00000000">
        <w:rPr>
          <w:rtl w:val="0"/>
        </w:rPr>
        <w:t xml:space="preserve"> = 0.13; p &lt; 0.001;</w:t>
      </w:r>
      <w:r w:rsidDel="00000000" w:rsidR="00000000" w:rsidRPr="00000000">
        <w:rPr>
          <w:rtl w:val="0"/>
        </w:rPr>
        <w:t xml:space="preserve"> Figure A1). There was also a significant difference in concordance between canopy levels AA (</w:t>
      </w:r>
      <m:oMath>
        <m:bar>
          <m:barPr>
            <m:pos/>
            <m:ctrlPr>
              <w:rPr/>
            </m:ctrlPr>
          </m:barPr>
          <m:e>
            <m:r>
              <w:rPr/>
              <m:t xml:space="preserve">CCC</m:t>
            </m:r>
          </m:e>
        </m:bar>
      </m:oMath>
      <w:r w:rsidDel="00000000" w:rsidR="00000000" w:rsidRPr="00000000">
        <w:rPr>
          <w:rtl w:val="0"/>
        </w:rPr>
        <w:t xml:space="preserve"> = </w:t>
      </w:r>
      <w:r w:rsidDel="00000000" w:rsidR="00000000" w:rsidRPr="00000000">
        <w:rPr>
          <w:rtl w:val="0"/>
        </w:rPr>
        <w:t xml:space="preserve">0.20), AW (</w:t>
      </w:r>
      <m:oMath>
        <m:bar>
          <m:barPr>
            <m:pos/>
            <m:ctrlPr>
              <w:rPr/>
            </m:ctrlPr>
          </m:barPr>
          <m:e>
            <m:r>
              <w:rPr/>
              <m:t xml:space="preserve">CCC</m:t>
            </m:r>
          </m:e>
        </m:bar>
      </m:oMath>
      <w:r w:rsidDel="00000000" w:rsidR="00000000" w:rsidRPr="00000000">
        <w:rPr>
          <w:rtl w:val="0"/>
        </w:rPr>
        <w:t xml:space="preserve"> = 0.13; </w:t>
      </w:r>
      <w:r w:rsidDel="00000000" w:rsidR="00000000" w:rsidRPr="00000000">
        <w:rPr>
          <w:rtl w:val="0"/>
        </w:rPr>
        <w:t xml:space="preserve">p &lt; 0.001; </w:t>
      </w:r>
      <w:r w:rsidDel="00000000" w:rsidR="00000000" w:rsidRPr="00000000">
        <w:rPr>
          <w:rtl w:val="0"/>
        </w:rPr>
        <w:t xml:space="preserve">Figure A1)</w:t>
      </w:r>
      <w:r w:rsidDel="00000000" w:rsidR="00000000" w:rsidRPr="00000000">
        <w:rPr>
          <w:rtl w:val="0"/>
        </w:rPr>
        <w:t xml:space="preserve">. Similar patterns were observed for H</w:t>
      </w:r>
      <w:r w:rsidDel="00000000" w:rsidR="00000000" w:rsidRPr="00000000">
        <w:rPr>
          <w:vertAlign w:val="subscript"/>
          <w:rtl w:val="0"/>
        </w:rPr>
        <w:t xml:space="preserve">2</w:t>
      </w:r>
      <w:r w:rsidDel="00000000" w:rsidR="00000000" w:rsidRPr="00000000">
        <w:rPr>
          <w:rtl w:val="0"/>
        </w:rPr>
        <w:t xml:space="preserve">O, where there was a significant difference between the CCC of each GF approach and canopy level (p &lt; 0.001; Figure A1). The MBR had a higher mean CCC (</w:t>
      </w:r>
      <m:oMath>
        <m:bar>
          <m:barPr>
            <m:pos/>
            <m:ctrlPr>
              <w:rPr/>
            </m:ctrlPr>
          </m:barPr>
          <m:e>
            <m:r>
              <w:rPr/>
              <m:t xml:space="preserve">CCC</m:t>
            </m:r>
          </m:e>
        </m:bar>
      </m:oMath>
      <w:r w:rsidDel="00000000" w:rsidR="00000000" w:rsidRPr="00000000">
        <w:rPr>
          <w:rtl w:val="0"/>
        </w:rPr>
        <w:t xml:space="preserve"> = 0.29</w:t>
      </w:r>
      <w:r w:rsidDel="00000000" w:rsidR="00000000" w:rsidRPr="00000000">
        <w:rPr>
          <w:rtl w:val="0"/>
        </w:rPr>
        <w:t xml:space="preserve">) compared to the AE (</w:t>
      </w:r>
      <m:oMath>
        <m:bar>
          <m:barPr>
            <m:pos/>
            <m:ctrlPr>
              <w:rPr/>
            </m:ctrlPr>
          </m:barPr>
          <m:e>
            <m:r>
              <w:rPr/>
              <m:t xml:space="preserve">CCC</m:t>
            </m:r>
          </m:e>
        </m:bar>
      </m:oMath>
      <w:r w:rsidDel="00000000" w:rsidR="00000000" w:rsidRPr="00000000">
        <w:rPr>
          <w:rtl w:val="0"/>
        </w:rPr>
        <w:t xml:space="preserve"> =0.11</w:t>
      </w:r>
      <w:r w:rsidDel="00000000" w:rsidR="00000000" w:rsidRPr="00000000">
        <w:rPr>
          <w:rtl w:val="0"/>
        </w:rPr>
        <w:t xml:space="preserve">) and WP (</w:t>
      </w:r>
      <m:oMath>
        <m:bar>
          <m:barPr>
            <m:pos/>
            <m:ctrlPr>
              <w:rPr/>
            </m:ctrlPr>
          </m:barPr>
          <m:e>
            <m:r>
              <w:rPr/>
              <m:t xml:space="preserve">CCC</m:t>
            </m:r>
          </m:e>
        </m:bar>
      </m:oMath>
      <w:r w:rsidDel="00000000" w:rsidR="00000000" w:rsidRPr="00000000">
        <w:rPr>
          <w:rtl w:val="0"/>
        </w:rPr>
        <w:t xml:space="preserve"> = 0.24</w:t>
      </w:r>
      <w:r w:rsidDel="00000000" w:rsidR="00000000" w:rsidRPr="00000000">
        <w:rPr>
          <w:rtl w:val="0"/>
        </w:rPr>
        <w:t xml:space="preserve">), and the canopy level </w:t>
      </w:r>
      <w:r w:rsidDel="00000000" w:rsidR="00000000" w:rsidRPr="00000000">
        <w:rPr>
          <w:rtl w:val="0"/>
        </w:rPr>
        <w:t xml:space="preserve"> AA had a higher mean CCC </w:t>
      </w:r>
      <w:r w:rsidDel="00000000" w:rsidR="00000000" w:rsidRPr="00000000">
        <w:rPr>
          <w:rtl w:val="0"/>
        </w:rPr>
        <w:t xml:space="preserve">(</w:t>
      </w:r>
      <m:oMath>
        <m:bar>
          <m:barPr>
            <m:pos/>
            <m:ctrlPr>
              <w:rPr/>
            </m:ctrlPr>
          </m:barPr>
          <m:e>
            <m:r>
              <w:rPr/>
              <m:t xml:space="preserve">CCC</m:t>
            </m:r>
          </m:e>
        </m:bar>
      </m:oMath>
      <w:r w:rsidDel="00000000" w:rsidR="00000000" w:rsidRPr="00000000">
        <w:rPr>
          <w:rtl w:val="0"/>
        </w:rPr>
        <w:t xml:space="preserve"> = 0.26; p &lt; 0.001</w:t>
      </w:r>
      <w:r w:rsidDel="00000000" w:rsidR="00000000" w:rsidRPr="00000000">
        <w:rPr>
          <w:rtl w:val="0"/>
        </w:rPr>
        <w:t xml:space="preserve">) </w:t>
      </w:r>
      <w:r w:rsidDel="00000000" w:rsidR="00000000" w:rsidRPr="00000000">
        <w:rPr>
          <w:rtl w:val="0"/>
        </w:rPr>
        <w:t xml:space="preserve">compared to AW </w:t>
      </w:r>
      <w:r w:rsidDel="00000000" w:rsidR="00000000" w:rsidRPr="00000000">
        <w:rPr>
          <w:rtl w:val="0"/>
        </w:rPr>
        <w:t xml:space="preserve">(</w:t>
      </w:r>
      <m:oMath>
        <m:bar>
          <m:barPr>
            <m:pos/>
            <m:ctrlPr>
              <w:rPr/>
            </m:ctrlPr>
          </m:barPr>
          <m:e>
            <m:r>
              <w:rPr/>
              <m:t xml:space="preserve">CCC</m:t>
            </m:r>
          </m:e>
        </m:bar>
      </m:oMath>
      <w:r w:rsidDel="00000000" w:rsidR="00000000" w:rsidRPr="00000000">
        <w:rPr>
          <w:rtl w:val="0"/>
        </w:rPr>
        <w:t xml:space="preserve"> = 0.17; p &lt; 0.001; </w:t>
      </w:r>
      <w:r w:rsidDel="00000000" w:rsidR="00000000" w:rsidRPr="00000000">
        <w:rPr>
          <w:rtl w:val="0"/>
        </w:rPr>
        <w:t xml:space="preserve">Figure 3).</w:t>
      </w:r>
      <w:r w:rsidDel="00000000" w:rsidR="00000000" w:rsidRPr="00000000">
        <w:rPr>
          <w:rtl w:val="0"/>
        </w:rPr>
        <w:t xml:space="preserve"> </w:t>
      </w:r>
    </w:p>
    <w:p w:rsidR="00000000" w:rsidDel="00000000" w:rsidP="00000000" w:rsidRDefault="00000000" w:rsidRPr="00000000" w14:paraId="000000E9">
      <w:pPr>
        <w:spacing w:after="0" w:before="240" w:lineRule="auto"/>
        <w:ind w:firstLine="0"/>
        <w:jc w:val="center"/>
        <w:rPr/>
      </w:pPr>
      <w:r w:rsidDel="00000000" w:rsidR="00000000" w:rsidRPr="00000000">
        <w:rPr/>
        <mc:AlternateContent>
          <mc:Choice Requires="wpg">
            <w:drawing>
              <wp:inline distB="114300" distT="114300" distL="114300" distR="114300">
                <wp:extent cx="2727325" cy="3557380"/>
                <wp:effectExtent b="0" l="0" r="0" t="0"/>
                <wp:docPr id="3" name=""/>
                <a:graphic>
                  <a:graphicData uri="http://schemas.microsoft.com/office/word/2010/wordprocessingGroup">
                    <wpg:wgp>
                      <wpg:cNvGrpSpPr/>
                      <wpg:grpSpPr>
                        <a:xfrm>
                          <a:off x="66200" y="139075"/>
                          <a:ext cx="2727325" cy="3557380"/>
                          <a:chOff x="66200" y="139075"/>
                          <a:chExt cx="3056050" cy="3988050"/>
                        </a:xfrm>
                      </wpg:grpSpPr>
                      <wps:wsp>
                        <wps:cNvSpPr/>
                        <wps:cNvPr id="52" name="Shape 52"/>
                        <wps:spPr>
                          <a:xfrm>
                            <a:off x="1618975" y="177675"/>
                            <a:ext cx="1498500" cy="3935400"/>
                          </a:xfrm>
                          <a:prstGeom prst="roundRect">
                            <a:avLst>
                              <a:gd fmla="val 12501"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3" name="Shape 53" title="final.eval.ccc.plot_AA_AW.png"/>
                          <pic:cNvPicPr preferRelativeResize="0"/>
                        </pic:nvPicPr>
                        <pic:blipFill>
                          <a:blip r:embed="rId81">
                            <a:alphaModFix/>
                          </a:blip>
                          <a:stretch>
                            <a:fillRect/>
                          </a:stretch>
                        </pic:blipFill>
                        <pic:spPr>
                          <a:xfrm>
                            <a:off x="70975" y="466372"/>
                            <a:ext cx="3046624" cy="3655949"/>
                          </a:xfrm>
                          <a:prstGeom prst="rect">
                            <a:avLst/>
                          </a:prstGeom>
                          <a:noFill/>
                          <a:ln>
                            <a:noFill/>
                          </a:ln>
                        </pic:spPr>
                      </pic:pic>
                      <wps:wsp>
                        <wps:cNvSpPr/>
                        <wps:cNvPr id="54" name="Shape 54"/>
                        <wps:spPr>
                          <a:xfrm>
                            <a:off x="70975" y="186957"/>
                            <a:ext cx="1548000" cy="3935400"/>
                          </a:xfrm>
                          <a:prstGeom prst="roundRect">
                            <a:avLst>
                              <a:gd fmla="val 12501"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5" name="Shape 55"/>
                        <wps:spPr>
                          <a:xfrm>
                            <a:off x="1618975" y="177675"/>
                            <a:ext cx="1498500" cy="327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H</w:t>
                              </w:r>
                              <w:r w:rsidDel="00000000" w:rsidR="00000000" w:rsidRPr="00000000">
                                <w:rPr>
                                  <w:rFonts w:ascii="Arial" w:cs="Arial" w:eastAsia="Arial" w:hAnsi="Arial"/>
                                  <w:b w:val="1"/>
                                  <w:i w:val="0"/>
                                  <w:smallCaps w:val="0"/>
                                  <w:strike w:val="0"/>
                                  <w:color w:val="000000"/>
                                  <w:sz w:val="28"/>
                                  <w:vertAlign w:val="subscript"/>
                                </w:rPr>
                                <w:t xml:space="preserve">2</w:t>
                              </w:r>
                              <w:r w:rsidDel="00000000" w:rsidR="00000000" w:rsidRPr="00000000">
                                <w:rPr>
                                  <w:rFonts w:ascii="Arial" w:cs="Arial" w:eastAsia="Arial" w:hAnsi="Arial"/>
                                  <w:b w:val="1"/>
                                  <w:i w:val="0"/>
                                  <w:smallCaps w:val="0"/>
                                  <w:strike w:val="0"/>
                                  <w:color w:val="000000"/>
                                  <w:sz w:val="28"/>
                                  <w:vertAlign w:val="baseline"/>
                                </w:rPr>
                                <w:t xml:space="preserve">O</w:t>
                              </w:r>
                            </w:p>
                          </w:txbxContent>
                        </wps:txbx>
                        <wps:bodyPr anchorCtr="0" anchor="t" bIns="91425" lIns="91425" spcFirstLastPara="1" rIns="91425" wrap="square" tIns="91425">
                          <a:noAutofit/>
                        </wps:bodyPr>
                      </wps:wsp>
                      <wps:wsp>
                        <wps:cNvSpPr txBox="1"/>
                        <wps:cNvPr id="56" name="Shape 56"/>
                        <wps:spPr>
                          <a:xfrm>
                            <a:off x="70975" y="139075"/>
                            <a:ext cx="1548000" cy="366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w:t>
                              </w:r>
                              <w:r w:rsidDel="00000000" w:rsidR="00000000" w:rsidRPr="00000000">
                                <w:rPr>
                                  <w:rFonts w:ascii="Arial" w:cs="Arial" w:eastAsia="Arial" w:hAnsi="Arial"/>
                                  <w:b w:val="1"/>
                                  <w:i w:val="0"/>
                                  <w:smallCaps w:val="0"/>
                                  <w:strike w:val="0"/>
                                  <w:color w:val="000000"/>
                                  <w:sz w:val="28"/>
                                  <w:vertAlign w:val="subscript"/>
                                </w:rPr>
                                <w:t xml:space="preserve">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727325" cy="3557380"/>
                <wp:effectExtent b="0" l="0" r="0" t="0"/>
                <wp:docPr id="3" name="image6.png"/>
                <a:graphic>
                  <a:graphicData uri="http://schemas.openxmlformats.org/drawingml/2006/picture">
                    <pic:pic>
                      <pic:nvPicPr>
                        <pic:cNvPr id="0" name="image6.png"/>
                        <pic:cNvPicPr preferRelativeResize="0"/>
                      </pic:nvPicPr>
                      <pic:blipFill>
                        <a:blip r:embed="rId40"/>
                        <a:srcRect/>
                        <a:stretch>
                          <a:fillRect/>
                        </a:stretch>
                      </pic:blipFill>
                      <pic:spPr>
                        <a:xfrm>
                          <a:off x="0" y="0"/>
                          <a:ext cx="2727325" cy="35573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A">
      <w:pPr>
        <w:spacing w:after="240" w:before="240" w:lineRule="auto"/>
        <w:ind w:firstLine="0"/>
        <w:rPr/>
      </w:pPr>
      <w:r w:rsidDel="00000000" w:rsidR="00000000" w:rsidRPr="00000000">
        <w:rPr>
          <w:rtl w:val="0"/>
        </w:rPr>
        <w:t xml:space="preserve">Figure 3</w:t>
      </w:r>
      <w:r w:rsidDel="00000000" w:rsidR="00000000" w:rsidRPr="00000000">
        <w:rPr>
          <w:rtl w:val="0"/>
        </w:rPr>
        <w:t xml:space="preserve">. The </w:t>
      </w:r>
      <w:r w:rsidDel="00000000" w:rsidR="00000000" w:rsidRPr="00000000">
        <w:rPr>
          <w:rtl w:val="0"/>
        </w:rPr>
        <w:t xml:space="preserve">concordance</w:t>
      </w:r>
      <w:r w:rsidDel="00000000" w:rsidR="00000000" w:rsidRPr="00000000">
        <w:rPr>
          <w:highlight w:val="white"/>
          <w:rtl w:val="0"/>
        </w:rPr>
        <w:t xml:space="preserve"> correlation coefficient of the GF compared to EC (</w:t>
      </w:r>
      <w:r w:rsidDel="00000000" w:rsidR="00000000" w:rsidRPr="00000000">
        <w:rPr>
          <w:rtl w:val="0"/>
        </w:rPr>
        <w:t xml:space="preserve">CCC (EC) for sampling height pairs. Concordance varied by approach (MBR, AE, WP: tan, green, and purple, respectively) for CO</w:t>
      </w:r>
      <w:r w:rsidDel="00000000" w:rsidR="00000000" w:rsidRPr="00000000">
        <w:rPr>
          <w:vertAlign w:val="subscript"/>
          <w:rtl w:val="0"/>
        </w:rPr>
        <w:t xml:space="preserve">2 </w:t>
      </w:r>
      <w:r w:rsidDel="00000000" w:rsidR="00000000" w:rsidRPr="00000000">
        <w:rPr>
          <w:rtl w:val="0"/>
        </w:rPr>
        <w:t xml:space="preserve">(A) and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 </w:t>
      </w:r>
      <w:r w:rsidDel="00000000" w:rsidR="00000000" w:rsidRPr="00000000">
        <w:rPr>
          <w:rtl w:val="0"/>
        </w:rPr>
        <w:t xml:space="preserve">(B) and by </w:t>
      </w:r>
      <w:r w:rsidDel="00000000" w:rsidR="00000000" w:rsidRPr="00000000">
        <w:rPr>
          <w:rtl w:val="0"/>
        </w:rPr>
        <w:t xml:space="preserve">canopy level</w:t>
      </w:r>
      <w:r w:rsidDel="00000000" w:rsidR="00000000" w:rsidRPr="00000000">
        <w:rPr>
          <w:rtl w:val="0"/>
        </w:rPr>
        <w:t xml:space="preserve"> (AA and AW) for CO</w:t>
      </w:r>
      <w:r w:rsidDel="00000000" w:rsidR="00000000" w:rsidRPr="00000000">
        <w:rPr>
          <w:vertAlign w:val="subscript"/>
          <w:rtl w:val="0"/>
        </w:rPr>
        <w:t xml:space="preserve">2 </w:t>
      </w:r>
      <w:r w:rsidDel="00000000" w:rsidR="00000000" w:rsidRPr="00000000">
        <w:rPr>
          <w:rtl w:val="0"/>
        </w:rPr>
        <w:t xml:space="preserve">(C) and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 </w:t>
      </w:r>
      <w:r w:rsidDel="00000000" w:rsidR="00000000" w:rsidRPr="00000000">
        <w:rPr>
          <w:rtl w:val="0"/>
        </w:rPr>
        <w:t xml:space="preserve">(D). The distribution of CCC (EC) values by approach and canopy level for CO</w:t>
      </w:r>
      <w:r w:rsidDel="00000000" w:rsidR="00000000" w:rsidRPr="00000000">
        <w:rPr>
          <w:vertAlign w:val="subscript"/>
          <w:rtl w:val="0"/>
        </w:rPr>
        <w:t xml:space="preserve">2</w:t>
      </w:r>
      <w:r w:rsidDel="00000000" w:rsidR="00000000" w:rsidRPr="00000000">
        <w:rPr>
          <w:rtl w:val="0"/>
        </w:rPr>
        <w:t xml:space="preserve"> (E) and H</w:t>
      </w:r>
      <w:r w:rsidDel="00000000" w:rsidR="00000000" w:rsidRPr="00000000">
        <w:rPr>
          <w:vertAlign w:val="subscript"/>
          <w:rtl w:val="0"/>
        </w:rPr>
        <w:t xml:space="preserve">2</w:t>
      </w:r>
      <w:r w:rsidDel="00000000" w:rsidR="00000000" w:rsidRPr="00000000">
        <w:rPr>
          <w:rtl w:val="0"/>
        </w:rPr>
        <w:t xml:space="preserve">O (F) showed wide variation in concordance across sampling height pairs.</w:t>
      </w:r>
      <w:r w:rsidDel="00000000" w:rsidR="00000000" w:rsidRPr="00000000">
        <w:rPr>
          <w:rtl w:val="0"/>
        </w:rPr>
      </w:r>
    </w:p>
    <w:p w:rsidR="00000000" w:rsidDel="00000000" w:rsidP="00000000" w:rsidRDefault="00000000" w:rsidRPr="00000000" w14:paraId="000000EB">
      <w:pPr>
        <w:spacing w:after="0" w:before="240" w:lineRule="auto"/>
        <w:rPr/>
      </w:pPr>
      <w:r w:rsidDel="00000000" w:rsidR="00000000" w:rsidRPr="00000000">
        <w:rPr>
          <w:rtl w:val="0"/>
        </w:rPr>
        <w:t xml:space="preserve">Of the 47 terrestrial NEON tower sites, 38 sites had reliable sampling height pairs with a </w:t>
      </w:r>
      <w:r w:rsidDel="00000000" w:rsidR="00000000" w:rsidRPr="00000000">
        <w:rPr>
          <w:rtl w:val="0"/>
        </w:rPr>
        <w:t xml:space="preserve">CCC (EC) ≥ 0.5</w:t>
      </w:r>
      <w:r w:rsidDel="00000000" w:rsidR="00000000" w:rsidRPr="00000000">
        <w:rPr>
          <w:rtl w:val="0"/>
        </w:rPr>
        <w:t xml:space="preserve"> for CO</w:t>
      </w:r>
      <w:r w:rsidDel="00000000" w:rsidR="00000000" w:rsidRPr="00000000">
        <w:rPr>
          <w:vertAlign w:val="subscript"/>
          <w:rtl w:val="0"/>
        </w:rPr>
        <w:t xml:space="preserve">2</w:t>
      </w:r>
      <w:r w:rsidDel="00000000" w:rsidR="00000000" w:rsidRPr="00000000">
        <w:rPr>
          <w:rtl w:val="0"/>
        </w:rPr>
        <w:t xml:space="preserve">.  Across all sites, sampling height pairs, and approaches, 11% of sampling height pairs produced reliable GFs for CO</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rtl w:val="0"/>
        </w:rPr>
        <w:t xml:space="preserve">(Figure 4)</w:t>
      </w:r>
      <w:r w:rsidDel="00000000" w:rsidR="00000000" w:rsidRPr="00000000">
        <w:rPr>
          <w:rtl w:val="0"/>
        </w:rPr>
        <w:t xml:space="preserve">. The mean number of</w:t>
      </w:r>
      <w:r w:rsidDel="00000000" w:rsidR="00000000" w:rsidRPr="00000000">
        <w:rPr>
          <w:rtl w:val="0"/>
        </w:rPr>
        <w:t xml:space="preserve"> sampling height pairs at a site with a CCC (EC) ≥ 0.5 was 3.8 (2.6 S.D.) for CO</w:t>
      </w:r>
      <w:r w:rsidDel="00000000" w:rsidR="00000000" w:rsidRPr="00000000">
        <w:rPr>
          <w:vertAlign w:val="subscript"/>
          <w:rtl w:val="0"/>
        </w:rPr>
        <w:t xml:space="preserve">2</w:t>
      </w:r>
      <w:r w:rsidDel="00000000" w:rsidR="00000000" w:rsidRPr="00000000">
        <w:rPr>
          <w:rtl w:val="0"/>
        </w:rPr>
        <w:t xml:space="preserve"> and 5.7 ( 3  S.D.) for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t xml:space="preserve"> Most of the reliable sampling height pairs were from the MBR approach (78%), followed by the AE (11%) and WP (11%)</w:t>
      </w:r>
      <w:r w:rsidDel="00000000" w:rsidR="00000000" w:rsidRPr="00000000">
        <w:rPr>
          <w:vertAlign w:val="subscript"/>
          <w:rtl w:val="0"/>
        </w:rPr>
        <w:t xml:space="preserve"> </w:t>
      </w:r>
      <w:r w:rsidDel="00000000" w:rsidR="00000000" w:rsidRPr="00000000">
        <w:rPr>
          <w:rtl w:val="0"/>
        </w:rPr>
        <w:t xml:space="preserve">for CO</w:t>
      </w:r>
      <w:r w:rsidDel="00000000" w:rsidR="00000000" w:rsidRPr="00000000">
        <w:rPr>
          <w:vertAlign w:val="subscript"/>
          <w:rtl w:val="0"/>
        </w:rPr>
        <w:t xml:space="preserve">2</w:t>
      </w:r>
      <w:r w:rsidDel="00000000" w:rsidR="00000000" w:rsidRPr="00000000">
        <w:rPr>
          <w:rtl w:val="0"/>
        </w:rPr>
        <w:t xml:space="preserve">. The most reliable sampling height pairs were above the canopy (AA = 72%), with just 28% from the AW for CO</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rtl w:val="0"/>
        </w:rPr>
        <w:t xml:space="preserve">The </w:t>
      </w:r>
      <m:oMath>
        <m:bar>
          <m:barPr>
            <m:pos/>
            <m:ctrlPr>
              <w:rPr/>
            </m:ctrlPr>
          </m:barPr>
          <m:e>
            <m:r>
              <w:rPr/>
              <m:t xml:space="preserve">CCC</m:t>
            </m:r>
          </m:e>
        </m:bar>
      </m:oMath>
      <w:r w:rsidDel="00000000" w:rsidR="00000000" w:rsidRPr="00000000">
        <w:rPr>
          <w:rtl w:val="0"/>
        </w:rPr>
        <w:t xml:space="preserve"> (EC) for a reliable sampling height pair (CCC (EC) ≥ 0.5) was similar for AA (</w:t>
      </w:r>
      <m:oMath>
        <m:bar>
          <m:barPr>
            <m:pos/>
            <m:ctrlPr>
              <w:rPr/>
            </m:ctrlPr>
          </m:barPr>
          <m:e>
            <m:r>
              <w:rPr/>
              <m:t xml:space="preserve">CCC</m:t>
            </m:r>
          </m:e>
        </m:bar>
      </m:oMath>
      <w:r w:rsidDel="00000000" w:rsidR="00000000" w:rsidRPr="00000000">
        <w:rPr>
          <w:rtl w:val="0"/>
        </w:rPr>
        <w:t xml:space="preserve">  (EC) = 0.69; R</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t xml:space="preserve"> 0.58) and AW (</w:t>
      </w:r>
      <m:oMath>
        <m:bar>
          <m:barPr>
            <m:pos/>
            <m:ctrlPr>
              <w:rPr/>
            </m:ctrlPr>
          </m:barPr>
          <m:e>
            <m:r>
              <w:rPr/>
              <m:t xml:space="preserve">CCC</m:t>
            </m:r>
          </m:e>
        </m:bar>
      </m:oMath>
      <w:r w:rsidDel="00000000" w:rsidR="00000000" w:rsidRPr="00000000">
        <w:rPr>
          <w:rtl w:val="0"/>
        </w:rPr>
        <w:t xml:space="preserve">  (EC) = 0.67; R</w:t>
      </w:r>
      <w:r w:rsidDel="00000000" w:rsidR="00000000" w:rsidRPr="00000000">
        <w:rPr>
          <w:vertAlign w:val="superscript"/>
          <w:rtl w:val="0"/>
        </w:rPr>
        <w:t xml:space="preserve">2</w:t>
      </w:r>
      <w:r w:rsidDel="00000000" w:rsidR="00000000" w:rsidRPr="00000000">
        <w:rPr>
          <w:rtl w:val="0"/>
        </w:rPr>
        <w:t xml:space="preserve">= 0.53) for CO</w:t>
      </w:r>
      <w:r w:rsidDel="00000000" w:rsidR="00000000" w:rsidRPr="00000000">
        <w:rPr>
          <w:vertAlign w:val="subscript"/>
          <w:rtl w:val="0"/>
        </w:rPr>
        <w:t xml:space="preserve">2</w:t>
      </w:r>
      <w:r w:rsidDel="00000000" w:rsidR="00000000" w:rsidRPr="00000000">
        <w:rPr>
          <w:rtl w:val="0"/>
        </w:rPr>
        <w:t xml:space="preserve">. Site-based results are shown in Supplement A </w:t>
      </w:r>
      <w:r w:rsidDel="00000000" w:rsidR="00000000" w:rsidRPr="00000000">
        <w:rPr>
          <w:rtl w:val="0"/>
        </w:rPr>
        <w:t xml:space="preserve">(Figures A2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spacing w:after="240" w:before="0" w:lineRule="auto"/>
        <w:rPr/>
      </w:pPr>
      <w:r w:rsidDel="00000000" w:rsidR="00000000" w:rsidRPr="00000000">
        <w:rPr>
          <w:rtl w:val="0"/>
        </w:rPr>
        <w:t xml:space="preserve">More sites had reliable sampling height pairs for 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rtl w:val="0"/>
        </w:rPr>
        <w:t xml:space="preserve">44 sites), and 30 sites provided reliable GFs for both gases. Across all sites and sampling height pairs, 19% of sampling pairs were reliable for H</w:t>
      </w:r>
      <w:r w:rsidDel="00000000" w:rsidR="00000000" w:rsidRPr="00000000">
        <w:rPr>
          <w:vertAlign w:val="subscript"/>
          <w:rtl w:val="0"/>
        </w:rPr>
        <w:t xml:space="preserve">2</w:t>
      </w:r>
      <w:r w:rsidDel="00000000" w:rsidR="00000000" w:rsidRPr="00000000">
        <w:rPr>
          <w:rtl w:val="0"/>
        </w:rPr>
        <w:t xml:space="preserve">O (Figure 4). </w:t>
      </w:r>
      <w:r w:rsidDel="00000000" w:rsidR="00000000" w:rsidRPr="00000000">
        <w:rPr>
          <w:rtl w:val="0"/>
        </w:rPr>
        <w:t xml:space="preserve">Similar to patterns observed for CO</w:t>
      </w:r>
      <w:r w:rsidDel="00000000" w:rsidR="00000000" w:rsidRPr="00000000">
        <w:rPr>
          <w:vertAlign w:val="subscript"/>
          <w:rtl w:val="0"/>
        </w:rPr>
        <w:t xml:space="preserve">2</w:t>
      </w:r>
      <w:r w:rsidDel="00000000" w:rsidR="00000000" w:rsidRPr="00000000">
        <w:rPr>
          <w:rtl w:val="0"/>
        </w:rPr>
        <w:t xml:space="preserve">, most reliable sampling height pairs were for the MBR (66%), followed by the AE (10%) and the WP (24%). The most reliable sampling height pairs were AA (60%), followed by AW (40%) for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 </w:t>
      </w:r>
      <w:r w:rsidDel="00000000" w:rsidR="00000000" w:rsidRPr="00000000">
        <w:rPr>
          <w:rtl w:val="0"/>
        </w:rPr>
        <w:t xml:space="preserve">(Figures S3 and S4). </w:t>
      </w:r>
      <w:r w:rsidDel="00000000" w:rsidR="00000000" w:rsidRPr="00000000">
        <w:rPr>
          <w:rtl w:val="0"/>
        </w:rPr>
        <w:t xml:space="preserve">The concordance was greatest for the AA (</w:t>
      </w:r>
      <m:oMath>
        <m:bar>
          <m:barPr>
            <m:pos/>
            <m:ctrlPr>
              <w:rPr/>
            </m:ctrlPr>
          </m:barPr>
          <m:e>
            <m:r>
              <w:rPr/>
              <m:t xml:space="preserve">CCC</m:t>
            </m:r>
          </m:e>
        </m:bar>
      </m:oMath>
      <w:r w:rsidDel="00000000" w:rsidR="00000000" w:rsidRPr="00000000">
        <w:rPr>
          <w:rtl w:val="0"/>
        </w:rPr>
        <w:t xml:space="preserve">(EC) = 0.72; R</w:t>
      </w:r>
      <w:r w:rsidDel="00000000" w:rsidR="00000000" w:rsidRPr="00000000">
        <w:rPr>
          <w:vertAlign w:val="superscript"/>
          <w:rtl w:val="0"/>
        </w:rPr>
        <w:t xml:space="preserve">2</w:t>
      </w:r>
      <w:r w:rsidDel="00000000" w:rsidR="00000000" w:rsidRPr="00000000">
        <w:rPr>
          <w:rtl w:val="0"/>
        </w:rPr>
        <w:t xml:space="preserve">= 0.59) compared to the AW (</w:t>
      </w:r>
      <m:oMath>
        <m:bar>
          <m:barPr>
            <m:pos/>
            <m:ctrlPr>
              <w:rPr/>
            </m:ctrlPr>
          </m:barPr>
          <m:e>
            <m:r>
              <w:rPr/>
              <m:t xml:space="preserve">CCC</m:t>
            </m:r>
          </m:e>
        </m:bar>
      </m:oMath>
      <w:r w:rsidDel="00000000" w:rsidR="00000000" w:rsidRPr="00000000">
        <w:rPr>
          <w:rtl w:val="0"/>
        </w:rPr>
        <w:t xml:space="preserve">(EC) = 0.65; R</w:t>
      </w:r>
      <w:r w:rsidDel="00000000" w:rsidR="00000000" w:rsidRPr="00000000">
        <w:rPr>
          <w:vertAlign w:val="superscript"/>
          <w:rtl w:val="0"/>
        </w:rPr>
        <w:t xml:space="preserve">2</w:t>
      </w:r>
      <w:r w:rsidDel="00000000" w:rsidR="00000000" w:rsidRPr="00000000">
        <w:rPr>
          <w:rtl w:val="0"/>
        </w:rPr>
        <w:t xml:space="preserve">= 0.50) across and within NEON tower sites for</w:t>
      </w:r>
      <w:r w:rsidDel="00000000" w:rsidR="00000000" w:rsidRPr="00000000">
        <w:rPr>
          <w:rtl w:val="0"/>
        </w:rPr>
        <w:t xml:space="preserve">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 Site-based results are shown in Supplement A </w:t>
      </w:r>
      <w:r w:rsidDel="00000000" w:rsidR="00000000" w:rsidRPr="00000000">
        <w:rPr>
          <w:rtl w:val="0"/>
        </w:rPr>
        <w:t xml:space="preserve">(Figures A</w:t>
      </w:r>
      <w:r w:rsidDel="00000000" w:rsidR="00000000" w:rsidRPr="00000000">
        <w:rPr>
          <w:rtl w:val="0"/>
        </w:rPr>
        <w:t xml:space="preserve">3).</w:t>
      </w:r>
    </w:p>
    <w:p w:rsidR="00000000" w:rsidDel="00000000" w:rsidP="00000000" w:rsidRDefault="00000000" w:rsidRPr="00000000" w14:paraId="000000ED">
      <w:pPr>
        <w:spacing w:after="240" w:before="240" w:lineRule="auto"/>
        <w:ind w:firstLine="0"/>
        <w:jc w:val="left"/>
        <w:rPr/>
      </w:pPr>
      <w:r w:rsidDel="00000000" w:rsidR="00000000" w:rsidRPr="00000000">
        <w:rPr/>
        <w:drawing>
          <wp:inline distB="114300" distT="114300" distL="114300" distR="114300">
            <wp:extent cx="5024438" cy="1771436"/>
            <wp:effectExtent b="0" l="0" r="0" t="0"/>
            <wp:docPr id="7"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5024438" cy="177143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ind w:firstLine="0"/>
        <w:rPr/>
      </w:pPr>
      <w:r w:rsidDel="00000000" w:rsidR="00000000" w:rsidRPr="00000000">
        <w:rPr>
          <w:rtl w:val="0"/>
        </w:rPr>
        <w:t xml:space="preserve">Figure 4.</w:t>
      </w:r>
      <w:r w:rsidDel="00000000" w:rsidR="00000000" w:rsidRPr="00000000">
        <w:rPr>
          <w:rtl w:val="0"/>
        </w:rPr>
        <w:t xml:space="preserve"> The percentage of reliable sampling height pairs </w:t>
      </w:r>
      <w:r w:rsidDel="00000000" w:rsidR="00000000" w:rsidRPr="00000000">
        <w:rPr>
          <w:rtl w:val="0"/>
        </w:rPr>
        <w:t xml:space="preserve">(CCC (EC) &gt; 0.5)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(A), </w:t>
      </w:r>
      <w:r w:rsidDel="00000000" w:rsidR="00000000" w:rsidRPr="00000000">
        <w:rPr>
          <w:rtl w:val="0"/>
        </w:rPr>
        <w:t xml:space="preserve">by approach (B), and canopy level (C). </w:t>
      </w:r>
      <w:r w:rsidDel="00000000" w:rsidR="00000000" w:rsidRPr="00000000">
        <w:rPr>
          <w:rtl w:val="0"/>
        </w:rPr>
      </w:r>
    </w:p>
    <w:p w:rsidR="00000000" w:rsidDel="00000000" w:rsidP="00000000" w:rsidRDefault="00000000" w:rsidRPr="00000000" w14:paraId="000000EF">
      <w:pPr>
        <w:spacing w:after="0" w:before="0" w:lineRule="auto"/>
        <w:ind w:firstLine="720"/>
        <w:rPr/>
      </w:pPr>
      <w:r w:rsidDel="00000000" w:rsidR="00000000" w:rsidRPr="00000000">
        <w:rPr>
          <w:rtl w:val="0"/>
        </w:rPr>
        <w:t xml:space="preserve">Across approaches, most sites had reliable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data in all four seasons (winter, spring, summer, and autumn; Figure 5). For CO</w:t>
      </w:r>
      <w:r w:rsidDel="00000000" w:rsidR="00000000" w:rsidRPr="00000000">
        <w:rPr>
          <w:vertAlign w:val="subscript"/>
          <w:rtl w:val="0"/>
        </w:rPr>
        <w:t xml:space="preserve">2</w:t>
      </w:r>
      <w:r w:rsidDel="00000000" w:rsidR="00000000" w:rsidRPr="00000000">
        <w:rPr>
          <w:rtl w:val="0"/>
        </w:rPr>
        <w:t xml:space="preserve">, most flux data were from the summer (34%; 11% S.D.) and autumn (25%; 7 S.D.), with the spring (24%; 9 S.D.) and winter (17%; 8 S.D.) undersampled. For H</w:t>
      </w:r>
      <w:r w:rsidDel="00000000" w:rsidR="00000000" w:rsidRPr="00000000">
        <w:rPr>
          <w:vertAlign w:val="subscript"/>
          <w:rtl w:val="0"/>
        </w:rPr>
        <w:t xml:space="preserve">2</w:t>
      </w:r>
      <w:r w:rsidDel="00000000" w:rsidR="00000000" w:rsidRPr="00000000">
        <w:rPr>
          <w:rtl w:val="0"/>
        </w:rPr>
        <w:t xml:space="preserve">O, most flux data were from the spring (31%; 12 S.D.), and the summer (24%; 7 S.D.), autumn (21%; 6 S.D.), and winter (23%; 9 S.D.) were undersampled on average. The patterns in percent coverage by hour were consistent across seasons and suggest that early-morning and midday fluxes were undersampled for CO</w:t>
      </w:r>
      <w:r w:rsidDel="00000000" w:rsidR="00000000" w:rsidRPr="00000000">
        <w:rPr>
          <w:vertAlign w:val="subscript"/>
          <w:rtl w:val="0"/>
        </w:rPr>
        <w:t xml:space="preserve">2</w:t>
      </w:r>
      <w:r w:rsidDel="00000000" w:rsidR="00000000" w:rsidRPr="00000000">
        <w:rPr>
          <w:rtl w:val="0"/>
        </w:rPr>
        <w:t xml:space="preserve">, and that early hours were undersampled for H</w:t>
      </w:r>
      <w:r w:rsidDel="00000000" w:rsidR="00000000" w:rsidRPr="00000000">
        <w:rPr>
          <w:vertAlign w:val="subscript"/>
          <w:rtl w:val="0"/>
        </w:rPr>
        <w:t xml:space="preserve">2</w:t>
      </w:r>
      <w:r w:rsidDel="00000000" w:rsidR="00000000" w:rsidRPr="00000000">
        <w:rPr>
          <w:rtl w:val="0"/>
        </w:rPr>
        <w:t xml:space="preserve">O (Figures 5B and 5C). Site-based results are shown in Supplement A </w:t>
      </w:r>
      <w:r w:rsidDel="00000000" w:rsidR="00000000" w:rsidRPr="00000000">
        <w:rPr>
          <w:rtl w:val="0"/>
        </w:rPr>
        <w:t xml:space="preserve">(Figures A</w:t>
      </w:r>
      <w:r w:rsidDel="00000000" w:rsidR="00000000" w:rsidRPr="00000000">
        <w:rPr>
          <w:rtl w:val="0"/>
        </w:rPr>
        <w:t xml:space="preserve">4 and A5).</w:t>
      </w:r>
    </w:p>
    <w:p w:rsidR="00000000" w:rsidDel="00000000" w:rsidP="00000000" w:rsidRDefault="00000000" w:rsidRPr="00000000" w14:paraId="000000F0">
      <w:pPr>
        <w:spacing w:after="0" w:before="0" w:lineRule="auto"/>
        <w:ind w:left="0" w:firstLine="0"/>
        <w:rPr/>
      </w:pPr>
      <w:r w:rsidDel="00000000" w:rsidR="00000000" w:rsidRPr="00000000">
        <w:rPr/>
        <mc:AlternateContent>
          <mc:Choice Requires="wpg">
            <w:drawing>
              <wp:inline distB="114300" distT="114300" distL="114300" distR="114300">
                <wp:extent cx="6055273" cy="5078616"/>
                <wp:effectExtent b="0" l="0" r="0" t="0"/>
                <wp:docPr id="6" name=""/>
                <a:graphic>
                  <a:graphicData uri="http://schemas.microsoft.com/office/word/2010/wordprocessingGroup">
                    <wpg:wgp>
                      <wpg:cNvGrpSpPr/>
                      <wpg:grpSpPr>
                        <a:xfrm>
                          <a:off x="152400" y="152400"/>
                          <a:ext cx="6055273" cy="5078616"/>
                          <a:chOff x="152400" y="152400"/>
                          <a:chExt cx="5943600" cy="4991100"/>
                        </a:xfrm>
                      </wpg:grpSpPr>
                      <pic:pic>
                        <pic:nvPicPr>
                          <pic:cNvPr id="134" name="Shape 134" title="Counts_Fluxes_Season-Hour_Percent_AA_AW.png"/>
                          <pic:cNvPicPr preferRelativeResize="0"/>
                        </pic:nvPicPr>
                        <pic:blipFill rotWithShape="1">
                          <a:blip r:embed="rId83">
                            <a:alphaModFix/>
                          </a:blip>
                          <a:srcRect b="0" l="40" r="40" t="0"/>
                          <a:stretch/>
                        </pic:blipFill>
                        <pic:spPr>
                          <a:xfrm>
                            <a:off x="152400" y="152400"/>
                            <a:ext cx="5943598" cy="5286377"/>
                          </a:xfrm>
                          <a:prstGeom prst="rect">
                            <a:avLst/>
                          </a:prstGeom>
                          <a:noFill/>
                          <a:ln>
                            <a:noFill/>
                          </a:ln>
                        </pic:spPr>
                      </pic:pic>
                      <wps:wsp>
                        <wps:cNvSpPr txBox="1"/>
                        <wps:cNvPr id="135" name="Shape 135"/>
                        <wps:spPr>
                          <a:xfrm>
                            <a:off x="5382100" y="2180500"/>
                            <a:ext cx="654600" cy="39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O</w:t>
                              </w:r>
                            </w:p>
                          </w:txbxContent>
                        </wps:txbx>
                        <wps:bodyPr anchorCtr="0" anchor="t" bIns="91425" lIns="91425" spcFirstLastPara="1" rIns="91425" wrap="square" tIns="91425">
                          <a:noAutofit/>
                        </wps:bodyPr>
                      </wps:wsp>
                      <wps:wsp>
                        <wps:cNvSpPr txBox="1"/>
                        <wps:cNvPr id="136" name="Shape 136"/>
                        <wps:spPr>
                          <a:xfrm>
                            <a:off x="5382100" y="201063"/>
                            <a:ext cx="654600" cy="39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055273" cy="5078616"/>
                <wp:effectExtent b="0" l="0" r="0" t="0"/>
                <wp:docPr id="6" name="image11.png"/>
                <a:graphic>
                  <a:graphicData uri="http://schemas.openxmlformats.org/drawingml/2006/picture">
                    <pic:pic>
                      <pic:nvPicPr>
                        <pic:cNvPr id="0" name="image11.png"/>
                        <pic:cNvPicPr preferRelativeResize="0"/>
                      </pic:nvPicPr>
                      <pic:blipFill>
                        <a:blip r:embed="rId40"/>
                        <a:srcRect/>
                        <a:stretch>
                          <a:fillRect/>
                        </a:stretch>
                      </pic:blipFill>
                      <pic:spPr>
                        <a:xfrm>
                          <a:off x="0" y="0"/>
                          <a:ext cx="6055273" cy="50786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spacing w:after="0" w:before="0" w:lineRule="auto"/>
        <w:ind w:left="0" w:firstLine="0"/>
        <w:rPr/>
      </w:pPr>
      <w:r w:rsidDel="00000000" w:rsidR="00000000" w:rsidRPr="00000000">
        <w:rPr>
          <w:rtl w:val="0"/>
        </w:rPr>
        <w:t xml:space="preserve">Figure 5</w:t>
      </w:r>
      <w:r w:rsidDel="00000000" w:rsidR="00000000" w:rsidRPr="00000000">
        <w:rPr>
          <w:rtl w:val="0"/>
        </w:rPr>
        <w:t xml:space="preserve">. The percent coverage of gradient flux (GF) data from </w:t>
      </w:r>
      <w:r w:rsidDel="00000000" w:rsidR="00000000" w:rsidRPr="00000000">
        <w:rPr>
          <w:rtl w:val="0"/>
        </w:rPr>
        <w:t xml:space="preserve">reliable sampling height pairs </w:t>
      </w:r>
      <w:r w:rsidDel="00000000" w:rsidR="00000000" w:rsidRPr="00000000">
        <w:rPr>
          <w:rtl w:val="0"/>
        </w:rPr>
        <w:t xml:space="preserve">(CCC (EC) &gt; 0.5) across sites by season (A) and hour for CO</w:t>
      </w:r>
      <w:r w:rsidDel="00000000" w:rsidR="00000000" w:rsidRPr="00000000">
        <w:rPr>
          <w:vertAlign w:val="subscript"/>
          <w:rtl w:val="0"/>
        </w:rPr>
        <w:t xml:space="preserve">2</w:t>
      </w:r>
      <w:r w:rsidDel="00000000" w:rsidR="00000000" w:rsidRPr="00000000">
        <w:rPr>
          <w:rtl w:val="0"/>
        </w:rPr>
        <w:t xml:space="preserve"> (B) and H</w:t>
      </w:r>
      <w:r w:rsidDel="00000000" w:rsidR="00000000" w:rsidRPr="00000000">
        <w:rPr>
          <w:vertAlign w:val="subscript"/>
          <w:rtl w:val="0"/>
        </w:rPr>
        <w:t xml:space="preserve">2</w:t>
      </w:r>
      <w:r w:rsidDel="00000000" w:rsidR="00000000" w:rsidRPr="00000000">
        <w:rPr>
          <w:rtl w:val="0"/>
        </w:rPr>
        <w:t xml:space="preserve">O (C). The summary across all sites (D) indicates that the data is skewed towards the summer for CO</w:t>
      </w:r>
      <w:r w:rsidDel="00000000" w:rsidR="00000000" w:rsidRPr="00000000">
        <w:rPr>
          <w:vertAlign w:val="subscript"/>
          <w:rtl w:val="0"/>
        </w:rPr>
        <w:t xml:space="preserve">2</w:t>
      </w:r>
      <w:r w:rsidDel="00000000" w:rsidR="00000000" w:rsidRPr="00000000">
        <w:rPr>
          <w:rtl w:val="0"/>
        </w:rPr>
        <w:t xml:space="preserve"> and spring for H</w:t>
      </w:r>
      <w:r w:rsidDel="00000000" w:rsidR="00000000" w:rsidRPr="00000000">
        <w:rPr>
          <w:vertAlign w:val="subscript"/>
          <w:rtl w:val="0"/>
        </w:rPr>
        <w:t xml:space="preserve">2</w:t>
      </w:r>
      <w:r w:rsidDel="00000000" w:rsidR="00000000" w:rsidRPr="00000000">
        <w:rPr>
          <w:rtl w:val="0"/>
        </w:rPr>
        <w:t xml:space="preserve">O. </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spacing w:after="0" w:before="0" w:lineRule="auto"/>
        <w:ind w:left="0" w:firstLine="720"/>
        <w:rPr/>
      </w:pPr>
      <w:r w:rsidDel="00000000" w:rsidR="00000000" w:rsidRPr="00000000">
        <w:rPr>
          <w:rtl w:val="0"/>
        </w:rPr>
        <w:t xml:space="preserve">Across all ecosystem types, the MBR provided reliable sampling height pairs with AE and WP important for tall canopies. The MBR produced reliable GFs when both measurement levels were above the canopy (AA), and the AE and WP were especially important for reliable cross-canopy fluxes (AW).  As a result, the MBR was popular across all ecosystem types, and the AE and WP were essential when cross-canopy fluxes could be used to produce reliable GFs (Figure 6). Still, the size of GF datasets was larger in short stature ecosystems where there was a higher rate of reliable sampling height pairs above the canopy (AA). On average, t</w:t>
      </w:r>
      <w:r w:rsidDel="00000000" w:rsidR="00000000" w:rsidRPr="00000000">
        <w:rPr>
          <w:rtl w:val="0"/>
        </w:rPr>
        <w:t xml:space="preserve">he dataset size across the approaches indicates that AE and WP were larger (Figure A6 and Figure A7). </w:t>
      </w:r>
      <w:r w:rsidDel="00000000" w:rsidR="00000000" w:rsidRPr="00000000">
        <w:rPr>
          <w:rtl w:val="0"/>
        </w:rPr>
        <w:t xml:space="preserve">The average sample size (in number of half hours per </w:t>
      </w:r>
      <w:r w:rsidDel="00000000" w:rsidR="00000000" w:rsidRPr="00000000">
        <w:rPr>
          <w:rtl w:val="0"/>
        </w:rPr>
        <w:t xml:space="preserve">year</w:t>
      </w:r>
      <w:r w:rsidDel="00000000" w:rsidR="00000000" w:rsidRPr="00000000">
        <w:rPr>
          <w:rtl w:val="0"/>
        </w:rPr>
        <w:t xml:space="preserve">) for CO</w:t>
      </w:r>
      <w:r w:rsidDel="00000000" w:rsidR="00000000" w:rsidRPr="00000000">
        <w:rPr>
          <w:vertAlign w:val="subscript"/>
          <w:rtl w:val="0"/>
        </w:rPr>
        <w:t xml:space="preserve">2</w:t>
      </w:r>
      <w:r w:rsidDel="00000000" w:rsidR="00000000" w:rsidRPr="00000000">
        <w:rPr>
          <w:rtl w:val="0"/>
        </w:rPr>
        <w:t xml:space="preserve"> fluxes across sites was 1341 (1848 S.D.) for the MBR, 2872 (1762 S.D.) for the AE, and 1948 (1886 S.D.) for the WP for CO</w:t>
      </w:r>
      <w:r w:rsidDel="00000000" w:rsidR="00000000" w:rsidRPr="00000000">
        <w:rPr>
          <w:vertAlign w:val="subscript"/>
          <w:rtl w:val="0"/>
        </w:rPr>
        <w:t xml:space="preserve">2</w:t>
      </w:r>
      <w:r w:rsidDel="00000000" w:rsidR="00000000" w:rsidRPr="00000000">
        <w:rPr>
          <w:rtl w:val="0"/>
        </w:rPr>
        <w:t xml:space="preserve">. The average sample size for H</w:t>
      </w:r>
      <w:r w:rsidDel="00000000" w:rsidR="00000000" w:rsidRPr="00000000">
        <w:rPr>
          <w:vertAlign w:val="subscript"/>
          <w:rtl w:val="0"/>
        </w:rPr>
        <w:t xml:space="preserve">2</w:t>
      </w:r>
      <w:r w:rsidDel="00000000" w:rsidR="00000000" w:rsidRPr="00000000">
        <w:rPr>
          <w:rtl w:val="0"/>
        </w:rPr>
        <w:t xml:space="preserve">O across sites was 2030 (1837 S.D.) for the MBR, 9262 (8235 S.D.) for the AE, and 9132 (7145 S.D.) for the WP. </w:t>
      </w:r>
      <w:r w:rsidDel="00000000" w:rsidR="00000000" w:rsidRPr="00000000">
        <w:rPr>
          <w:rtl w:val="0"/>
        </w:rPr>
        <w:t xml:space="preserve"> </w:t>
      </w:r>
      <w:r w:rsidDel="00000000" w:rsidR="00000000" w:rsidRPr="00000000">
        <w:rPr>
          <w:rtl w:val="0"/>
        </w:rPr>
        <w:t xml:space="preserve">Even though the AE and WP had larger datasets and were associated with forests, these ecosystems also had the smallest datasets on average </w:t>
      </w:r>
      <w:r w:rsidDel="00000000" w:rsidR="00000000" w:rsidRPr="00000000">
        <w:rPr>
          <w:rtl w:val="0"/>
        </w:rPr>
        <w:t xml:space="preserve">(Figure A6 and Figure A7)</w:t>
      </w:r>
      <w:r w:rsidDel="00000000" w:rsidR="00000000" w:rsidRPr="00000000">
        <w:rPr>
          <w:rtl w:val="0"/>
        </w:rPr>
        <w:t xml:space="preserve">. </w:t>
      </w:r>
    </w:p>
    <w:p w:rsidR="00000000" w:rsidDel="00000000" w:rsidP="00000000" w:rsidRDefault="00000000" w:rsidRPr="00000000" w14:paraId="000000F4">
      <w:pPr>
        <w:spacing w:after="0" w:before="0" w:lineRule="auto"/>
        <w:ind w:left="0" w:firstLine="0"/>
        <w:rPr/>
      </w:pPr>
      <w:r w:rsidDel="00000000" w:rsidR="00000000" w:rsidRPr="00000000">
        <w:rPr/>
        <mc:AlternateContent>
          <mc:Choice Requires="wpg">
            <w:drawing>
              <wp:inline distB="114300" distT="114300" distL="114300" distR="114300">
                <wp:extent cx="5679775" cy="7472363"/>
                <wp:effectExtent b="0" l="0" r="0" t="0"/>
                <wp:docPr id="5" name=""/>
                <a:graphic>
                  <a:graphicData uri="http://schemas.microsoft.com/office/word/2010/wordprocessingGroup">
                    <wpg:wgp>
                      <wpg:cNvGrpSpPr/>
                      <wpg:grpSpPr>
                        <a:xfrm>
                          <a:off x="152375" y="152400"/>
                          <a:ext cx="5679775" cy="7472363"/>
                          <a:chOff x="152375" y="152400"/>
                          <a:chExt cx="3784500" cy="4991100"/>
                        </a:xfrm>
                      </wpg:grpSpPr>
                      <pic:pic>
                        <pic:nvPicPr>
                          <pic:cNvPr id="132" name="Shape 132"/>
                          <pic:cNvPicPr preferRelativeResize="0"/>
                        </pic:nvPicPr>
                        <pic:blipFill>
                          <a:blip r:embed="rId84">
                            <a:alphaModFix/>
                          </a:blip>
                          <a:stretch>
                            <a:fillRect/>
                          </a:stretch>
                        </pic:blipFill>
                        <pic:spPr>
                          <a:xfrm>
                            <a:off x="152400" y="152400"/>
                            <a:ext cx="3784469" cy="3315256"/>
                          </a:xfrm>
                          <a:prstGeom prst="rect">
                            <a:avLst/>
                          </a:prstGeom>
                          <a:noFill/>
                          <a:ln>
                            <a:noFill/>
                          </a:ln>
                        </pic:spPr>
                      </pic:pic>
                      <pic:pic>
                        <pic:nvPicPr>
                          <pic:cNvPr id="133" name="Shape 133" title="SamplingFluxesEcotype_AA_AW.png"/>
                          <pic:cNvPicPr preferRelativeResize="0"/>
                        </pic:nvPicPr>
                        <pic:blipFill>
                          <a:blip r:embed="rId85">
                            <a:alphaModFix/>
                          </a:blip>
                          <a:stretch>
                            <a:fillRect/>
                          </a:stretch>
                        </pic:blipFill>
                        <pic:spPr>
                          <a:xfrm>
                            <a:off x="152399" y="3375626"/>
                            <a:ext cx="3784468" cy="1892234"/>
                          </a:xfrm>
                          <a:prstGeom prst="rect">
                            <a:avLst/>
                          </a:prstGeom>
                          <a:noFill/>
                          <a:ln>
                            <a:noFill/>
                          </a:ln>
                        </pic:spPr>
                      </pic:pic>
                    </wpg:wgp>
                  </a:graphicData>
                </a:graphic>
              </wp:inline>
            </w:drawing>
          </mc:Choice>
          <mc:Fallback>
            <w:drawing>
              <wp:inline distB="114300" distT="114300" distL="114300" distR="114300">
                <wp:extent cx="5679775" cy="7472363"/>
                <wp:effectExtent b="0" l="0" r="0" t="0"/>
                <wp:docPr id="5" name="image9.png"/>
                <a:graphic>
                  <a:graphicData uri="http://schemas.openxmlformats.org/drawingml/2006/picture">
                    <pic:pic>
                      <pic:nvPicPr>
                        <pic:cNvPr id="0" name="image9.png"/>
                        <pic:cNvPicPr preferRelativeResize="0"/>
                      </pic:nvPicPr>
                      <pic:blipFill>
                        <a:blip r:embed="rId40"/>
                        <a:srcRect/>
                        <a:stretch>
                          <a:fillRect/>
                        </a:stretch>
                      </pic:blipFill>
                      <pic:spPr>
                        <a:xfrm>
                          <a:off x="0" y="0"/>
                          <a:ext cx="5679775" cy="74723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5">
      <w:pPr>
        <w:spacing w:after="0" w:before="0" w:lineRule="auto"/>
        <w:ind w:left="0" w:firstLine="0"/>
        <w:rPr/>
      </w:pPr>
      <w:r w:rsidDel="00000000" w:rsidR="00000000" w:rsidRPr="00000000">
        <w:rPr>
          <w:rtl w:val="0"/>
        </w:rPr>
        <w:t xml:space="preserve">Figure 6. </w:t>
      </w:r>
      <w:r w:rsidDel="00000000" w:rsidR="00000000" w:rsidRPr="00000000">
        <w:rPr>
          <w:rtl w:val="0"/>
        </w:rPr>
        <w:t xml:space="preserve">The percentage of reliable sampling height pairs </w:t>
      </w:r>
      <w:r w:rsidDel="00000000" w:rsidR="00000000" w:rsidRPr="00000000">
        <w:rPr>
          <w:rtl w:val="0"/>
        </w:rPr>
        <w:t xml:space="preserve">(CCC (EC) &gt; 0.5) for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by approach (MBR, AE, and WP; A), canopy level (AA and AW; B), and ecosystem type. The concordance (CCC) varied across ecosystems (C) and resulted in variation in the average number of reliable sampling height pairs(D) and the average size of the GF dataset at tower sites (E).</w:t>
      </w:r>
      <w:r w:rsidDel="00000000" w:rsidR="00000000" w:rsidRPr="00000000">
        <w:rPr>
          <w:rtl w:val="0"/>
        </w:rPr>
      </w:r>
    </w:p>
    <w:p w:rsidR="00000000" w:rsidDel="00000000" w:rsidP="00000000" w:rsidRDefault="00000000" w:rsidRPr="00000000" w14:paraId="000000F6">
      <w:pPr>
        <w:spacing w:after="240" w:before="240" w:lineRule="auto"/>
        <w:ind w:firstLine="0"/>
        <w:rPr>
          <w:i w:val="1"/>
          <w:iCs w:val="1"/>
        </w:rPr>
      </w:pPr>
      <w:r w:rsidDel="00000000" w:rsidR="00000000" w:rsidRPr="00000000">
        <w:rPr>
          <w:i w:val="1"/>
          <w:iCs w:val="1"/>
          <w:rtl w:val="0"/>
        </w:rPr>
        <w:t xml:space="preserve">3.4. Canopy Influence on Reliable Sampling Height Pairs</w:t>
      </w: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 </w:t>
        <w:tab/>
        <w:t xml:space="preserve">Structural attributes of ecosystems influenced which sampling height pairs had a CCC (EC) ≥ 0.5 (Figure 7). With the GF approach, the mean canopy height within the tower footprint, the standard deviation of canopy height (SDSDH), and the distance between the measurement height and the canopy at the upper (Relative Dist A) and lower </w:t>
      </w:r>
      <w:r w:rsidDel="00000000" w:rsidR="00000000" w:rsidRPr="00000000">
        <w:rPr>
          <w:rtl w:val="0"/>
        </w:rPr>
        <w:t xml:space="preserve">(Relative Dist B) </w:t>
      </w:r>
      <w:r w:rsidDel="00000000" w:rsidR="00000000" w:rsidRPr="00000000">
        <w:rPr>
          <w:rtl w:val="0"/>
        </w:rPr>
        <w:t xml:space="preserve">measurement levels influenced the reliability of sampling height pairs. The </w:t>
      </w:r>
      <w:r w:rsidDel="00000000" w:rsidR="00000000" w:rsidRPr="00000000">
        <w:rPr>
          <w:rtl w:val="0"/>
        </w:rPr>
        <w:t xml:space="preserve">random forest </w:t>
      </w:r>
      <w:r w:rsidDel="00000000" w:rsidR="00000000" w:rsidRPr="00000000">
        <w:rPr>
          <w:rtl w:val="0"/>
        </w:rPr>
        <w:t xml:space="preserve">model accuracy was 95%, which was significantly different from the </w:t>
      </w:r>
      <w:r w:rsidDel="00000000" w:rsidR="00000000" w:rsidRPr="00000000">
        <w:rPr>
          <w:rtl w:val="0"/>
        </w:rPr>
        <w:t xml:space="preserve">no-information rate</w:t>
      </w:r>
      <w:r w:rsidDel="00000000" w:rsidR="00000000" w:rsidRPr="00000000">
        <w:rPr>
          <w:rtl w:val="0"/>
        </w:rPr>
        <w:t xml:space="preserve"> (0.85; p &lt; 0.001). The sensitivity analysis revealed that the probability of a sampling height pair having a CCC (EC) ≥ 0.5 was highest for the MBR approach when measurements were above the canopy (i.e., AA; Figure 7). In contrast, AE and WP performed best when the top sampling height pair was above the canopy, and the bottom measurement was within the canopy (i.e., AW). Measurement levels farther from the mean canopy height had a higher probability of producing a reliable sampling height pair, except for the WP approach, where a measurement level within the canopy, closest to the top, also had a higher probability.  Sampling height pairs for ecosystems with a lower canopy variance and shorter mean canopy height had a higher probability. </w:t>
      </w:r>
      <w:r w:rsidDel="00000000" w:rsidR="00000000" w:rsidRPr="00000000">
        <w:rPr>
          <w:rtl w:val="0"/>
        </w:rPr>
      </w:r>
    </w:p>
    <w:p w:rsidR="00000000" w:rsidDel="00000000" w:rsidP="00000000" w:rsidRDefault="00000000" w:rsidRPr="00000000" w14:paraId="000000F8">
      <w:pPr>
        <w:spacing w:after="240" w:before="240" w:lineRule="auto"/>
        <w:ind w:firstLine="0"/>
        <w:jc w:val="center"/>
        <w:rPr>
          <w:i w:val="1"/>
          <w:iCs w:val="1"/>
        </w:rPr>
      </w:pPr>
      <w:r w:rsidDel="00000000" w:rsidR="00000000" w:rsidRPr="00000000">
        <w:rPr>
          <w:i w:val="1"/>
          <w:iCs w:val="1"/>
        </w:rPr>
        <w:drawing>
          <wp:inline distB="114300" distT="114300" distL="114300" distR="114300">
            <wp:extent cx="5201336" cy="4259428"/>
            <wp:effectExtent b="0" l="0" r="0" t="0"/>
            <wp:docPr id="9" name="image2.png"/>
            <a:graphic>
              <a:graphicData uri="http://schemas.openxmlformats.org/drawingml/2006/picture">
                <pic:pic>
                  <pic:nvPicPr>
                    <pic:cNvPr id="0" name="image2.png"/>
                    <pic:cNvPicPr preferRelativeResize="0"/>
                  </pic:nvPicPr>
                  <pic:blipFill>
                    <a:blip r:embed="rId86"/>
                    <a:srcRect b="0" l="0" r="0" t="0"/>
                    <a:stretch>
                      <a:fillRect/>
                    </a:stretch>
                  </pic:blipFill>
                  <pic:spPr>
                    <a:xfrm>
                      <a:off x="0" y="0"/>
                      <a:ext cx="5201336" cy="425942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ind w:firstLine="0"/>
        <w:rPr/>
      </w:pPr>
      <w:r w:rsidDel="00000000" w:rsidR="00000000" w:rsidRPr="00000000">
        <w:rPr>
          <w:rtl w:val="0"/>
        </w:rPr>
        <w:t xml:space="preserve">Figure </w:t>
      </w:r>
      <w:r w:rsidDel="00000000" w:rsidR="00000000" w:rsidRPr="00000000">
        <w:rPr>
          <w:rtl w:val="0"/>
        </w:rPr>
        <w:t xml:space="preserve">7. Sensitivity analysis for the model estimating the probability of a sampling height pair having a concordance</w:t>
      </w:r>
      <w:r w:rsidDel="00000000" w:rsidR="00000000" w:rsidRPr="00000000">
        <w:rPr>
          <w:highlight w:val="white"/>
          <w:rtl w:val="0"/>
        </w:rPr>
        <w:t xml:space="preserve"> correlation coefficient (</w:t>
      </w:r>
      <w:r w:rsidDel="00000000" w:rsidR="00000000" w:rsidRPr="00000000">
        <w:rPr>
          <w:rtl w:val="0"/>
        </w:rPr>
        <w:t xml:space="preserve">CCC (EC)</w:t>
      </w:r>
      <w:r w:rsidDel="00000000" w:rsidR="00000000" w:rsidRPr="00000000">
        <w:rPr>
          <w:rtl w:val="0"/>
        </w:rPr>
        <w:t xml:space="preserve"> ≥ 0.5) for the MBR (A-D), the AE (E-H), and WP (I-L) by canopy level (AA, AW) for the mean canopy height (m), the standard deviation of canopy height (SDSDH), and the distance between the measurement height and the canopy at the upper (Relative Dist A) and lower (Relative Dist B) measurement levels influenced the reliability of sampling height pairs, respectively.</w:t>
      </w:r>
    </w:p>
    <w:p w:rsidR="00000000" w:rsidDel="00000000" w:rsidP="00000000" w:rsidRDefault="00000000" w:rsidRPr="00000000" w14:paraId="000000FA">
      <w:pPr>
        <w:spacing w:after="240" w:before="240" w:lineRule="auto"/>
        <w:ind w:firstLine="0"/>
        <w:rPr/>
      </w:pPr>
      <w:r w:rsidDel="00000000" w:rsidR="00000000" w:rsidRPr="00000000">
        <w:rPr>
          <w:i w:val="1"/>
          <w:iCs w:val="1"/>
          <w:rtl w:val="0"/>
        </w:rPr>
        <w:t xml:space="preserve">3.2. </w:t>
      </w:r>
      <w:r w:rsidDel="00000000" w:rsidR="00000000" w:rsidRPr="00000000">
        <w:rPr>
          <w:i w:val="1"/>
          <w:iCs w:val="1"/>
          <w:rtl w:val="0"/>
        </w:rPr>
        <w:t xml:space="preserve">Gradient Flux Ensemble </w:t>
      </w:r>
      <w:r w:rsidDel="00000000" w:rsidR="00000000" w:rsidRPr="00000000">
        <w:rPr>
          <w:rtl w:val="0"/>
        </w:rPr>
      </w:r>
    </w:p>
    <w:p w:rsidR="00000000" w:rsidDel="00000000" w:rsidP="00000000" w:rsidRDefault="00000000" w:rsidRPr="00000000" w14:paraId="000000FB">
      <w:pPr>
        <w:spacing w:after="240" w:before="240" w:lineRule="auto"/>
        <w:ind w:firstLine="720"/>
        <w:rPr/>
      </w:pPr>
      <w:r w:rsidDel="00000000" w:rsidR="00000000" w:rsidRPr="00000000">
        <w:rPr>
          <w:rtl w:val="0"/>
        </w:rPr>
        <w:t xml:space="preserve">Temporal overlap in GFs from different sampling height pairs and approaches was common across sites and ranged from </w:t>
      </w:r>
      <w:r w:rsidDel="00000000" w:rsidR="00000000" w:rsidRPr="00000000">
        <w:rPr>
          <w:rtl w:val="0"/>
        </w:rPr>
        <w:t xml:space="preserve">0 to 48%</w:t>
      </w:r>
      <w:r w:rsidDel="00000000" w:rsidR="00000000" w:rsidRPr="00000000">
        <w:rPr>
          <w:rtl w:val="0"/>
        </w:rPr>
        <w:t xml:space="preserve"> (Figure A9). The highest overlap was between the AE and WP, whereas data from all three approaches overlapped for fewer than </w:t>
      </w:r>
      <w:r w:rsidDel="00000000" w:rsidR="00000000" w:rsidRPr="00000000">
        <w:rPr>
          <w:rtl w:val="0"/>
        </w:rPr>
        <w:t xml:space="preserve">5%</w:t>
      </w:r>
      <w:r w:rsidDel="00000000" w:rsidR="00000000" w:rsidRPr="00000000">
        <w:rPr>
          <w:rtl w:val="0"/>
        </w:rPr>
        <w:t xml:space="preserve"> of available fluxes on average (Figure A8). There were small differences in ensemble method performance (Table 4). Therefore, we used the mean ensemble in all analyses.</w:t>
      </w:r>
      <w:r w:rsidDel="00000000" w:rsidR="00000000" w:rsidRPr="00000000">
        <w:rPr>
          <w:rtl w:val="0"/>
        </w:rPr>
        <w:t xml:space="preserve"> </w:t>
      </w:r>
      <w:r w:rsidDel="00000000" w:rsidR="00000000" w:rsidRPr="00000000">
        <w:rPr>
          <w:rtl w:val="0"/>
        </w:rPr>
        <w:t xml:space="preserve">The concordance between e</w:t>
      </w:r>
      <w:r w:rsidDel="00000000" w:rsidR="00000000" w:rsidRPr="00000000">
        <w:rPr>
          <w:rtl w:val="0"/>
        </w:rPr>
        <w:t xml:space="preserve">nsembled GFs and EC was just as strong as the mean CCC (EC) across sites (Figure 8), suggesting that the GF ensemble did not reduce concordance with EC. </w:t>
      </w:r>
    </w:p>
    <w:p w:rsidR="00000000" w:rsidDel="00000000" w:rsidP="00000000" w:rsidRDefault="00000000" w:rsidRPr="00000000" w14:paraId="000000FC">
      <w:pPr>
        <w:spacing w:after="240" w:before="240" w:lineRule="auto"/>
        <w:ind w:left="0" w:firstLine="0"/>
        <w:rPr/>
      </w:pPr>
      <w:r w:rsidDel="00000000" w:rsidR="00000000" w:rsidRPr="00000000">
        <w:rPr>
          <w:rtl w:val="0"/>
        </w:rPr>
        <w:t xml:space="preserve">Table 4. Comparison of ensemble methods. ​​</w:t>
      </w:r>
    </w:p>
    <w:tbl>
      <w:tblPr>
        <w:tblStyle w:val="Table4"/>
        <w:tblW w:w="7606.3205417607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7.7878103837472"/>
        <w:gridCol w:w="919.0970654627539"/>
        <w:gridCol w:w="908.5327313769751"/>
        <w:gridCol w:w="929.6613995485326"/>
        <w:gridCol w:w="919.0970654627539"/>
        <w:gridCol w:w="982.4830699774266"/>
        <w:gridCol w:w="929.6613995485326"/>
        <w:tblGridChange w:id="0">
          <w:tblGrid>
            <w:gridCol w:w="2017.7878103837472"/>
            <w:gridCol w:w="919.0970654627539"/>
            <w:gridCol w:w="908.5327313769751"/>
            <w:gridCol w:w="929.6613995485326"/>
            <w:gridCol w:w="919.0970654627539"/>
            <w:gridCol w:w="982.4830699774266"/>
            <w:gridCol w:w="929.6613995485326"/>
          </w:tblGrid>
        </w:tblGridChange>
      </w:tblGrid>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FD">
            <w:pPr>
              <w:keepNext w:val="1"/>
              <w:spacing w:after="0" w:before="0" w:lineRule="auto"/>
              <w:ind w:firstLine="0"/>
              <w:rPr>
                <w:sz w:val="20"/>
                <w:szCs w:val="20"/>
              </w:rPr>
            </w:pPr>
            <w:r w:rsidDel="00000000" w:rsidR="00000000" w:rsidRPr="00000000">
              <w:rPr>
                <w:sz w:val="20"/>
                <w:szCs w:val="20"/>
                <w:rtl w:val="0"/>
              </w:rPr>
              <w:t xml:space="preserve">Ensemble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FE">
            <w:pPr>
              <w:keepNext w:val="1"/>
              <w:spacing w:after="0" w:before="0" w:lineRule="auto"/>
              <w:ind w:firstLine="0"/>
              <w:rPr>
                <w:sz w:val="20"/>
                <w:szCs w:val="20"/>
              </w:rPr>
            </w:pPr>
            <w:r w:rsidDel="00000000" w:rsidR="00000000" w:rsidRPr="00000000">
              <w:rPr>
                <w:sz w:val="20"/>
                <w:szCs w:val="20"/>
                <w:rtl w:val="0"/>
              </w:rPr>
              <w:t xml:space="preserve">Mean 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FF">
            <w:pPr>
              <w:keepNext w:val="1"/>
              <w:spacing w:after="0" w:before="0" w:lineRule="auto"/>
              <w:ind w:firstLine="0"/>
              <w:rPr>
                <w:sz w:val="20"/>
                <w:szCs w:val="20"/>
              </w:rPr>
            </w:pPr>
            <w:r w:rsidDel="00000000" w:rsidR="00000000" w:rsidRPr="00000000">
              <w:rPr>
                <w:sz w:val="20"/>
                <w:szCs w:val="20"/>
                <w:rtl w:val="0"/>
              </w:rPr>
              <w:t xml:space="preserve">S.D. 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0">
            <w:pPr>
              <w:keepNext w:val="1"/>
              <w:spacing w:after="0" w:before="0" w:lineRule="auto"/>
              <w:ind w:firstLine="0"/>
              <w:rPr>
                <w:sz w:val="20"/>
                <w:szCs w:val="20"/>
              </w:rPr>
            </w:pPr>
            <w:r w:rsidDel="00000000" w:rsidR="00000000" w:rsidRPr="00000000">
              <w:rPr>
                <w:sz w:val="20"/>
                <w:szCs w:val="20"/>
                <w:rtl w:val="0"/>
              </w:rPr>
              <w:t xml:space="preserve">Mean CCC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1">
            <w:pPr>
              <w:keepNext w:val="1"/>
              <w:spacing w:after="0" w:before="0" w:lineRule="auto"/>
              <w:ind w:firstLine="0"/>
              <w:rPr>
                <w:sz w:val="20"/>
                <w:szCs w:val="20"/>
              </w:rPr>
            </w:pPr>
            <w:r w:rsidDel="00000000" w:rsidR="00000000" w:rsidRPr="00000000">
              <w:rPr>
                <w:sz w:val="20"/>
                <w:szCs w:val="20"/>
                <w:rtl w:val="0"/>
              </w:rPr>
              <w:t xml:space="preserve">S.D. CCC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2">
            <w:pPr>
              <w:keepNext w:val="1"/>
              <w:spacing w:after="0" w:before="0" w:lineRule="auto"/>
              <w:ind w:firstLine="0"/>
              <w:rPr>
                <w:sz w:val="20"/>
                <w:szCs w:val="20"/>
              </w:rPr>
            </w:pPr>
            <w:r w:rsidDel="00000000" w:rsidR="00000000" w:rsidRPr="00000000">
              <w:rPr>
                <w:sz w:val="20"/>
                <w:szCs w:val="20"/>
                <w:rtl w:val="0"/>
              </w:rPr>
              <w:t xml:space="preserve">Mean RMSE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3">
            <w:pPr>
              <w:keepNext w:val="1"/>
              <w:spacing w:after="0" w:before="0" w:lineRule="auto"/>
              <w:ind w:firstLine="0"/>
              <w:rPr>
                <w:sz w:val="20"/>
                <w:szCs w:val="20"/>
              </w:rPr>
            </w:pPr>
            <w:r w:rsidDel="00000000" w:rsidR="00000000" w:rsidRPr="00000000">
              <w:rPr>
                <w:sz w:val="20"/>
                <w:szCs w:val="20"/>
                <w:rtl w:val="0"/>
              </w:rPr>
              <w:t xml:space="preserve">S.D. RMSE</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4">
            <w:pPr>
              <w:keepNext w:val="1"/>
              <w:spacing w:after="0" w:before="0" w:lineRule="auto"/>
              <w:ind w:left="0" w:firstLine="0"/>
              <w:rPr>
                <w:sz w:val="20"/>
                <w:szCs w:val="20"/>
              </w:rPr>
            </w:pPr>
            <w:r w:rsidDel="00000000" w:rsidR="00000000" w:rsidRPr="00000000">
              <w:rPr>
                <w:sz w:val="20"/>
                <w:szCs w:val="20"/>
                <w:rtl w:val="0"/>
              </w:rPr>
              <w:t xml:space="preserve">Bayesian fusion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5">
            <w:pPr>
              <w:keepNext w:val="1"/>
              <w:spacing w:after="0" w:before="0" w:lineRule="auto"/>
              <w:ind w:firstLine="0"/>
              <w:rPr>
                <w:sz w:val="20"/>
                <w:szCs w:val="20"/>
              </w:rPr>
            </w:pPr>
            <w:r w:rsidDel="00000000" w:rsidR="00000000" w:rsidRPr="00000000">
              <w:rPr>
                <w:sz w:val="20"/>
                <w:szCs w:val="20"/>
                <w:rtl w:val="0"/>
              </w:rPr>
              <w:t xml:space="preserve">0.501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6">
            <w:pPr>
              <w:keepNext w:val="1"/>
              <w:spacing w:after="0" w:before="0" w:lineRule="auto"/>
              <w:ind w:firstLine="0"/>
              <w:rPr>
                <w:sz w:val="20"/>
                <w:szCs w:val="20"/>
              </w:rPr>
            </w:pPr>
            <w:r w:rsidDel="00000000" w:rsidR="00000000" w:rsidRPr="00000000">
              <w:rPr>
                <w:sz w:val="20"/>
                <w:szCs w:val="20"/>
                <w:rtl w:val="0"/>
              </w:rPr>
              <w:t xml:space="preserve">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7">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8">
            <w:pPr>
              <w:keepNext w:val="1"/>
              <w:spacing w:after="0" w:before="0" w:lineRule="auto"/>
              <w:ind w:firstLine="0"/>
              <w:rPr>
                <w:sz w:val="20"/>
                <w:szCs w:val="20"/>
              </w:rPr>
            </w:pPr>
            <w:r w:rsidDel="00000000" w:rsidR="00000000" w:rsidRPr="00000000">
              <w:rPr>
                <w:sz w:val="20"/>
                <w:szCs w:val="20"/>
                <w:rtl w:val="0"/>
              </w:rPr>
              <w:t xml:space="preserve">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9">
            <w:pPr>
              <w:keepNext w:val="1"/>
              <w:spacing w:after="0" w:before="0" w:lineRule="auto"/>
              <w:ind w:firstLine="0"/>
              <w:rPr>
                <w:sz w:val="20"/>
                <w:szCs w:val="20"/>
              </w:rPr>
            </w:pPr>
            <w:r w:rsidDel="00000000" w:rsidR="00000000" w:rsidRPr="00000000">
              <w:rPr>
                <w:sz w:val="20"/>
                <w:szCs w:val="20"/>
                <w:rtl w:val="0"/>
              </w:rPr>
              <w:t xml:space="preserve">3.44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A">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B">
            <w:pPr>
              <w:keepNext w:val="1"/>
              <w:spacing w:after="0" w:before="0" w:lineRule="auto"/>
              <w:ind w:left="0" w:firstLine="0"/>
              <w:rPr>
                <w:sz w:val="20"/>
                <w:szCs w:val="20"/>
              </w:rPr>
            </w:pPr>
            <w:r w:rsidDel="00000000" w:rsidR="00000000" w:rsidRPr="00000000">
              <w:rPr>
                <w:sz w:val="20"/>
                <w:szCs w:val="20"/>
                <w:rtl w:val="0"/>
              </w:rPr>
              <w:t xml:space="preserve">I</w:t>
            </w:r>
            <w:r w:rsidDel="00000000" w:rsidR="00000000" w:rsidRPr="00000000">
              <w:rPr>
                <w:sz w:val="20"/>
                <w:szCs w:val="20"/>
                <w:rtl w:val="0"/>
              </w:rPr>
              <w:t xml:space="preserve">nverse RMSE weighted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C">
            <w:pPr>
              <w:keepNext w:val="1"/>
              <w:spacing w:after="0" w:before="0" w:lineRule="auto"/>
              <w:ind w:firstLine="0"/>
              <w:rPr>
                <w:sz w:val="20"/>
                <w:szCs w:val="20"/>
              </w:rPr>
            </w:pPr>
            <w:r w:rsidDel="00000000" w:rsidR="00000000" w:rsidRPr="00000000">
              <w:rPr>
                <w:sz w:val="20"/>
                <w:szCs w:val="20"/>
                <w:rtl w:val="0"/>
              </w:rPr>
              <w:t xml:space="preserve">0.501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D">
            <w:pPr>
              <w:keepNext w:val="1"/>
              <w:spacing w:after="0" w:before="0" w:lineRule="auto"/>
              <w:ind w:firstLine="0"/>
              <w:rPr>
                <w:sz w:val="20"/>
                <w:szCs w:val="20"/>
              </w:rPr>
            </w:pPr>
            <w:r w:rsidDel="00000000" w:rsidR="00000000" w:rsidRPr="00000000">
              <w:rPr>
                <w:sz w:val="20"/>
                <w:szCs w:val="20"/>
                <w:rtl w:val="0"/>
              </w:rPr>
              <w:t xml:space="preserve">0.119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E">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0F">
            <w:pPr>
              <w:keepNext w:val="1"/>
              <w:spacing w:after="0" w:before="0" w:lineRule="auto"/>
              <w:ind w:firstLine="0"/>
              <w:rPr>
                <w:sz w:val="20"/>
                <w:szCs w:val="20"/>
              </w:rPr>
            </w:pPr>
            <w:r w:rsidDel="00000000" w:rsidR="00000000" w:rsidRPr="00000000">
              <w:rPr>
                <w:sz w:val="20"/>
                <w:szCs w:val="20"/>
                <w:rtl w:val="0"/>
              </w:rPr>
              <w:t xml:space="preserve">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0">
            <w:pPr>
              <w:keepNext w:val="1"/>
              <w:spacing w:after="0" w:before="0" w:lineRule="auto"/>
              <w:ind w:firstLine="0"/>
              <w:rPr>
                <w:sz w:val="20"/>
                <w:szCs w:val="20"/>
              </w:rPr>
            </w:pPr>
            <w:r w:rsidDel="00000000" w:rsidR="00000000" w:rsidRPr="00000000">
              <w:rPr>
                <w:sz w:val="20"/>
                <w:szCs w:val="20"/>
                <w:rtl w:val="0"/>
              </w:rPr>
              <w:t xml:space="preserve">3.46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1">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2">
            <w:pPr>
              <w:keepNext w:val="1"/>
              <w:spacing w:after="0" w:before="0" w:lineRule="auto"/>
              <w:ind w:left="0" w:firstLine="0"/>
              <w:rPr>
                <w:sz w:val="20"/>
                <w:szCs w:val="20"/>
              </w:rPr>
            </w:pPr>
            <w:r w:rsidDel="00000000" w:rsidR="00000000" w:rsidRPr="00000000">
              <w:rPr>
                <w:sz w:val="20"/>
                <w:szCs w:val="20"/>
                <w:rtl w:val="0"/>
              </w:rPr>
              <w:t xml:space="preserve">Approach weighted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3">
            <w:pPr>
              <w:keepNext w:val="1"/>
              <w:spacing w:after="0" w:before="0" w:lineRule="auto"/>
              <w:ind w:firstLine="0"/>
              <w:rPr>
                <w:sz w:val="20"/>
                <w:szCs w:val="20"/>
              </w:rPr>
            </w:pPr>
            <w:r w:rsidDel="00000000" w:rsidR="00000000" w:rsidRPr="00000000">
              <w:rPr>
                <w:sz w:val="20"/>
                <w:szCs w:val="20"/>
                <w:rtl w:val="0"/>
              </w:rPr>
              <w:t xml:space="preserve">0.499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4">
            <w:pPr>
              <w:keepNext w:val="1"/>
              <w:spacing w:after="0" w:before="0" w:lineRule="auto"/>
              <w:ind w:firstLine="0"/>
              <w:rPr>
                <w:sz w:val="20"/>
                <w:szCs w:val="20"/>
              </w:rPr>
            </w:pPr>
            <w:r w:rsidDel="00000000" w:rsidR="00000000" w:rsidRPr="00000000">
              <w:rPr>
                <w:sz w:val="20"/>
                <w:szCs w:val="20"/>
                <w:rtl w:val="0"/>
              </w:rPr>
              <w:t xml:space="preserve">0.118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5">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6">
            <w:pPr>
              <w:keepNext w:val="1"/>
              <w:spacing w:after="0" w:before="0" w:lineRule="auto"/>
              <w:ind w:firstLine="0"/>
              <w:rPr>
                <w:sz w:val="20"/>
                <w:szCs w:val="20"/>
              </w:rPr>
            </w:pPr>
            <w:r w:rsidDel="00000000" w:rsidR="00000000" w:rsidRPr="00000000">
              <w:rPr>
                <w:sz w:val="20"/>
                <w:szCs w:val="20"/>
                <w:rtl w:val="0"/>
              </w:rPr>
              <w:t xml:space="preserve">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7">
            <w:pPr>
              <w:keepNext w:val="1"/>
              <w:spacing w:after="0" w:before="0" w:lineRule="auto"/>
              <w:ind w:firstLine="0"/>
              <w:rPr>
                <w:sz w:val="20"/>
                <w:szCs w:val="20"/>
              </w:rPr>
            </w:pPr>
            <w:r w:rsidDel="00000000" w:rsidR="00000000" w:rsidRPr="00000000">
              <w:rPr>
                <w:sz w:val="20"/>
                <w:szCs w:val="20"/>
                <w:rtl w:val="0"/>
              </w:rPr>
              <w:t xml:space="preserve">3.47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8">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9">
            <w:pPr>
              <w:keepNext w:val="1"/>
              <w:spacing w:after="0" w:before="0" w:lineRule="auto"/>
              <w:ind w:left="0" w:firstLine="0"/>
              <w:rPr>
                <w:sz w:val="20"/>
                <w:szCs w:val="20"/>
              </w:rPr>
            </w:pPr>
            <w:r w:rsidDel="00000000" w:rsidR="00000000" w:rsidRPr="00000000">
              <w:rPr>
                <w:sz w:val="20"/>
                <w:szCs w:val="20"/>
                <w:rtl w:val="0"/>
              </w:rPr>
              <w:t xml:space="preserve">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A">
            <w:pPr>
              <w:keepNext w:val="1"/>
              <w:spacing w:after="0" w:before="0" w:lineRule="auto"/>
              <w:ind w:firstLine="0"/>
              <w:rPr>
                <w:sz w:val="20"/>
                <w:szCs w:val="20"/>
              </w:rPr>
            </w:pPr>
            <w:r w:rsidDel="00000000" w:rsidR="00000000" w:rsidRPr="00000000">
              <w:rPr>
                <w:sz w:val="20"/>
                <w:szCs w:val="20"/>
                <w:rtl w:val="0"/>
              </w:rPr>
              <w:t xml:space="preserve">0.499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B">
            <w:pPr>
              <w:keepNext w:val="1"/>
              <w:spacing w:after="0" w:before="0" w:lineRule="auto"/>
              <w:ind w:firstLine="0"/>
              <w:rPr>
                <w:sz w:val="20"/>
                <w:szCs w:val="20"/>
              </w:rPr>
            </w:pPr>
            <w:r w:rsidDel="00000000" w:rsidR="00000000" w:rsidRPr="00000000">
              <w:rPr>
                <w:sz w:val="20"/>
                <w:szCs w:val="20"/>
                <w:rtl w:val="0"/>
              </w:rPr>
              <w:t xml:space="preserve">0.117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C">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D">
            <w:pPr>
              <w:keepNext w:val="1"/>
              <w:spacing w:after="0" w:before="0" w:lineRule="auto"/>
              <w:ind w:firstLine="0"/>
              <w:rPr>
                <w:sz w:val="20"/>
                <w:szCs w:val="20"/>
              </w:rPr>
            </w:pPr>
            <w:r w:rsidDel="00000000" w:rsidR="00000000" w:rsidRPr="00000000">
              <w:rPr>
                <w:sz w:val="20"/>
                <w:szCs w:val="20"/>
                <w:rtl w:val="0"/>
              </w:rPr>
              <w:t xml:space="preserve">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E">
            <w:pPr>
              <w:keepNext w:val="1"/>
              <w:spacing w:after="0" w:before="0" w:lineRule="auto"/>
              <w:ind w:firstLine="0"/>
              <w:rPr>
                <w:sz w:val="20"/>
                <w:szCs w:val="20"/>
              </w:rPr>
            </w:pPr>
            <w:r w:rsidDel="00000000" w:rsidR="00000000" w:rsidRPr="00000000">
              <w:rPr>
                <w:sz w:val="20"/>
                <w:szCs w:val="20"/>
                <w:rtl w:val="0"/>
              </w:rPr>
              <w:t xml:space="preserve">3.49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1F">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0">
            <w:pPr>
              <w:keepNext w:val="1"/>
              <w:spacing w:after="0" w:before="0" w:lineRule="auto"/>
              <w:ind w:left="0" w:firstLine="0"/>
              <w:rPr>
                <w:sz w:val="20"/>
                <w:szCs w:val="20"/>
              </w:rPr>
            </w:pPr>
            <w:r w:rsidDel="00000000" w:rsidR="00000000" w:rsidRPr="00000000">
              <w:rPr>
                <w:sz w:val="20"/>
                <w:szCs w:val="20"/>
                <w:rtl w:val="0"/>
              </w:rPr>
              <w:t xml:space="preserve">Median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1">
            <w:pPr>
              <w:keepNext w:val="1"/>
              <w:spacing w:after="0" w:before="0" w:lineRule="auto"/>
              <w:ind w:firstLine="0"/>
              <w:rPr>
                <w:sz w:val="20"/>
                <w:szCs w:val="20"/>
              </w:rPr>
            </w:pPr>
            <w:r w:rsidDel="00000000" w:rsidR="00000000" w:rsidRPr="00000000">
              <w:rPr>
                <w:sz w:val="20"/>
                <w:szCs w:val="20"/>
                <w:rtl w:val="0"/>
              </w:rPr>
              <w:t xml:space="preserve">0.496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2">
            <w:pPr>
              <w:keepNext w:val="1"/>
              <w:spacing w:after="0" w:before="0" w:lineRule="auto"/>
              <w:ind w:firstLine="0"/>
              <w:rPr>
                <w:sz w:val="20"/>
                <w:szCs w:val="20"/>
              </w:rPr>
            </w:pPr>
            <w:r w:rsidDel="00000000" w:rsidR="00000000" w:rsidRPr="00000000">
              <w:rPr>
                <w:sz w:val="20"/>
                <w:szCs w:val="20"/>
                <w:rtl w:val="0"/>
              </w:rPr>
              <w:t xml:space="preserve">0.116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3">
            <w:pPr>
              <w:keepNext w:val="1"/>
              <w:spacing w:after="0" w:before="0" w:lineRule="auto"/>
              <w:ind w:firstLine="0"/>
              <w:rPr>
                <w:sz w:val="20"/>
                <w:szCs w:val="20"/>
              </w:rPr>
            </w:pPr>
            <w:r w:rsidDel="00000000" w:rsidR="00000000" w:rsidRPr="00000000">
              <w:rPr>
                <w:sz w:val="20"/>
                <w:szCs w:val="20"/>
                <w:rtl w:val="0"/>
              </w:rPr>
              <w:t xml:space="preserve">0.66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4">
            <w:pPr>
              <w:keepNext w:val="1"/>
              <w:spacing w:after="0" w:before="0" w:lineRule="auto"/>
              <w:ind w:firstLine="0"/>
              <w:rPr>
                <w:sz w:val="20"/>
                <w:szCs w:val="20"/>
              </w:rPr>
            </w:pPr>
            <w:r w:rsidDel="00000000" w:rsidR="00000000" w:rsidRPr="00000000">
              <w:rPr>
                <w:sz w:val="20"/>
                <w:szCs w:val="20"/>
                <w:rtl w:val="0"/>
              </w:rPr>
              <w:t xml:space="preserve">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5">
            <w:pPr>
              <w:keepNext w:val="1"/>
              <w:spacing w:after="0" w:before="0" w:lineRule="auto"/>
              <w:ind w:firstLine="0"/>
              <w:rPr>
                <w:sz w:val="20"/>
                <w:szCs w:val="20"/>
              </w:rPr>
            </w:pPr>
            <w:r w:rsidDel="00000000" w:rsidR="00000000" w:rsidRPr="00000000">
              <w:rPr>
                <w:sz w:val="20"/>
                <w:szCs w:val="20"/>
                <w:rtl w:val="0"/>
              </w:rPr>
              <w:t xml:space="preserve">3.49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6">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7">
            <w:pPr>
              <w:keepNext w:val="1"/>
              <w:spacing w:after="0" w:before="0" w:lineRule="auto"/>
              <w:ind w:left="0" w:firstLine="0"/>
              <w:rPr>
                <w:sz w:val="20"/>
                <w:szCs w:val="20"/>
              </w:rPr>
            </w:pPr>
            <w:r w:rsidDel="00000000" w:rsidR="00000000" w:rsidRPr="00000000">
              <w:rPr>
                <w:sz w:val="20"/>
                <w:szCs w:val="20"/>
                <w:rtl w:val="0"/>
              </w:rPr>
              <w:t xml:space="preserve">Median_weighted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8">
            <w:pPr>
              <w:keepNext w:val="1"/>
              <w:spacing w:after="0" w:before="0" w:lineRule="auto"/>
              <w:ind w:firstLine="0"/>
              <w:rPr>
                <w:sz w:val="20"/>
                <w:szCs w:val="20"/>
              </w:rPr>
            </w:pPr>
            <w:r w:rsidDel="00000000" w:rsidR="00000000" w:rsidRPr="00000000">
              <w:rPr>
                <w:sz w:val="20"/>
                <w:szCs w:val="20"/>
                <w:rtl w:val="0"/>
              </w:rPr>
              <w:t xml:space="preserve">0.49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9">
            <w:pPr>
              <w:keepNext w:val="1"/>
              <w:spacing w:after="0" w:before="0" w:lineRule="auto"/>
              <w:ind w:firstLine="0"/>
              <w:rPr>
                <w:sz w:val="20"/>
                <w:szCs w:val="20"/>
              </w:rPr>
            </w:pPr>
            <w:r w:rsidDel="00000000" w:rsidR="00000000" w:rsidRPr="00000000">
              <w:rPr>
                <w:sz w:val="20"/>
                <w:szCs w:val="20"/>
                <w:rtl w:val="0"/>
              </w:rPr>
              <w:t xml:space="preserve">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A">
            <w:pPr>
              <w:keepNext w:val="1"/>
              <w:spacing w:after="0" w:before="0" w:lineRule="auto"/>
              <w:ind w:firstLine="0"/>
              <w:rPr>
                <w:sz w:val="20"/>
                <w:szCs w:val="20"/>
              </w:rPr>
            </w:pPr>
            <w:r w:rsidDel="00000000" w:rsidR="00000000" w:rsidRPr="00000000">
              <w:rPr>
                <w:sz w:val="20"/>
                <w:szCs w:val="20"/>
                <w:rtl w:val="0"/>
              </w:rPr>
              <w:t xml:space="preserve">0.65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B">
            <w:pPr>
              <w:keepNext w:val="1"/>
              <w:spacing w:after="0" w:before="0" w:lineRule="auto"/>
              <w:ind w:firstLine="0"/>
              <w:rPr>
                <w:sz w:val="20"/>
                <w:szCs w:val="20"/>
              </w:rPr>
            </w:pPr>
            <w:r w:rsidDel="00000000" w:rsidR="00000000" w:rsidRPr="00000000">
              <w:rPr>
                <w:sz w:val="20"/>
                <w:szCs w:val="20"/>
                <w:rtl w:val="0"/>
              </w:rPr>
              <w:t xml:space="preserve">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C">
            <w:pPr>
              <w:keepNext w:val="1"/>
              <w:spacing w:after="0" w:before="0" w:lineRule="auto"/>
              <w:ind w:firstLine="0"/>
              <w:rPr>
                <w:sz w:val="20"/>
                <w:szCs w:val="20"/>
              </w:rPr>
            </w:pPr>
            <w:r w:rsidDel="00000000" w:rsidR="00000000" w:rsidRPr="00000000">
              <w:rPr>
                <w:sz w:val="20"/>
                <w:szCs w:val="20"/>
                <w:rtl w:val="0"/>
              </w:rPr>
              <w:t xml:space="preserve">3.47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12D">
            <w:pPr>
              <w:keepNext w:val="1"/>
              <w:spacing w:after="0" w:before="0" w:lineRule="auto"/>
              <w:ind w:firstLine="0"/>
              <w:rPr>
                <w:sz w:val="20"/>
                <w:szCs w:val="20"/>
              </w:rPr>
            </w:pPr>
            <w:r w:rsidDel="00000000" w:rsidR="00000000" w:rsidRPr="00000000">
              <w:rPr>
                <w:sz w:val="20"/>
                <w:szCs w:val="20"/>
                <w:rtl w:val="0"/>
              </w:rPr>
              <w:t xml:space="preserve">3.2</w:t>
            </w:r>
            <w:r w:rsidDel="00000000" w:rsidR="00000000" w:rsidRPr="00000000">
              <w:rPr>
                <w:rtl w:val="0"/>
              </w:rPr>
            </w:r>
          </w:p>
        </w:tc>
      </w:tr>
    </w:tbl>
    <w:p w:rsidR="00000000" w:rsidDel="00000000" w:rsidP="00000000" w:rsidRDefault="00000000" w:rsidRPr="00000000" w14:paraId="0000012E">
      <w:pPr>
        <w:spacing w:after="240" w:before="240" w:lineRule="auto"/>
        <w:ind w:firstLine="720"/>
        <w:rPr/>
      </w:pPr>
      <w:r w:rsidDel="00000000" w:rsidR="00000000" w:rsidRPr="00000000">
        <w:rPr>
          <w:rtl w:val="0"/>
        </w:rPr>
      </w:r>
    </w:p>
    <w:p w:rsidR="00000000" w:rsidDel="00000000" w:rsidP="00000000" w:rsidRDefault="00000000" w:rsidRPr="00000000" w14:paraId="0000012F">
      <w:pPr>
        <w:spacing w:after="240" w:before="240" w:lineRule="auto"/>
        <w:ind w:left="0" w:firstLine="0"/>
        <w:rPr/>
      </w:pPr>
      <w:r w:rsidDel="00000000" w:rsidR="00000000" w:rsidRPr="00000000">
        <w:rPr/>
        <w:drawing>
          <wp:inline distB="114300" distT="114300" distL="114300" distR="114300">
            <wp:extent cx="3100070" cy="2325052"/>
            <wp:effectExtent b="0" l="0" r="0" t="0"/>
            <wp:docPr id="8" name="image3.png"/>
            <a:graphic>
              <a:graphicData uri="http://schemas.openxmlformats.org/drawingml/2006/picture">
                <pic:pic>
                  <pic:nvPicPr>
                    <pic:cNvPr id="0" name="image3.png"/>
                    <pic:cNvPicPr preferRelativeResize="0"/>
                  </pic:nvPicPr>
                  <pic:blipFill>
                    <a:blip r:embed="rId87"/>
                    <a:srcRect b="0" l="0" r="0" t="0"/>
                    <a:stretch>
                      <a:fillRect/>
                    </a:stretch>
                  </pic:blipFill>
                  <pic:spPr>
                    <a:xfrm>
                      <a:off x="0" y="0"/>
                      <a:ext cx="3100070" cy="2325052"/>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Figure 8. A comparison of the concordance between the mean CCC (EC) for reliable sampling height pairs at NEON towersites and the ensembled CCC (EC).</w:t>
      </w:r>
    </w:p>
    <w:p w:rsidR="00000000" w:rsidDel="00000000" w:rsidP="00000000" w:rsidRDefault="00000000" w:rsidRPr="00000000" w14:paraId="00000131">
      <w:pPr>
        <w:spacing w:after="240" w:before="240" w:lineRule="auto"/>
        <w:ind w:left="0" w:firstLine="0"/>
        <w:rPr>
          <w:i w:val="1"/>
          <w:iCs w:val="1"/>
        </w:rPr>
      </w:pPr>
      <w:r w:rsidDel="00000000" w:rsidR="00000000" w:rsidRPr="00000000">
        <w:rPr>
          <w:i w:val="1"/>
          <w:iCs w:val="1"/>
          <w:rtl w:val="0"/>
        </w:rPr>
        <w:t xml:space="preserve">3.3. Ecological Assessment of Gradient Fluxes</w:t>
      </w:r>
      <w:r w:rsidDel="00000000" w:rsidR="00000000" w:rsidRPr="00000000">
        <w:rPr>
          <w:i w:val="1"/>
          <w:iCs w:val="1"/>
          <w:rtl w:val="0"/>
        </w:rPr>
        <w:t xml:space="preserve"> </w:t>
      </w:r>
    </w:p>
    <w:p w:rsidR="00000000" w:rsidDel="00000000" w:rsidP="00000000" w:rsidRDefault="00000000" w:rsidRPr="00000000" w14:paraId="00000132">
      <w:pPr>
        <w:spacing w:after="240" w:before="240" w:lineRule="auto"/>
        <w:rPr/>
      </w:pPr>
      <w:r w:rsidDel="00000000" w:rsidR="00000000" w:rsidRPr="00000000">
        <w:rPr>
          <w:rtl w:val="0"/>
        </w:rPr>
        <w:t xml:space="preserve">All sites with reliable sampling height pairs produced seasonal diel curves that had strong correlations (R</w:t>
      </w:r>
      <w:r w:rsidDel="00000000" w:rsidR="00000000" w:rsidRPr="00000000">
        <w:rPr>
          <w:vertAlign w:val="superscript"/>
          <w:rtl w:val="0"/>
        </w:rPr>
        <w:t xml:space="preserve">2</w:t>
      </w:r>
      <w:r w:rsidDel="00000000" w:rsidR="00000000" w:rsidRPr="00000000">
        <w:rPr>
          <w:rtl w:val="0"/>
        </w:rPr>
        <w:t xml:space="preserve">≈ 0.72 - 0.98) with EC curves for both CO</w:t>
      </w:r>
      <w:r w:rsidDel="00000000" w:rsidR="00000000" w:rsidRPr="00000000">
        <w:rPr>
          <w:vertAlign w:val="subscript"/>
          <w:rtl w:val="0"/>
        </w:rPr>
        <w:t xml:space="preserve">2</w:t>
      </w:r>
      <w:r w:rsidDel="00000000" w:rsidR="00000000" w:rsidRPr="00000000">
        <w:rPr>
          <w:rtl w:val="0"/>
        </w:rPr>
        <w:t xml:space="preserve"> (n = 28) and H</w:t>
      </w:r>
      <w:r w:rsidDel="00000000" w:rsidR="00000000" w:rsidRPr="00000000">
        <w:rPr>
          <w:vertAlign w:val="subscript"/>
          <w:rtl w:val="0"/>
        </w:rPr>
        <w:t xml:space="preserve">2</w:t>
      </w:r>
      <w:r w:rsidDel="00000000" w:rsidR="00000000" w:rsidRPr="00000000">
        <w:rPr>
          <w:rtl w:val="0"/>
        </w:rPr>
        <w:t xml:space="preserve">O (n = 43; Figure 9). Most towers produced valid CO</w:t>
      </w:r>
      <w:r w:rsidDel="00000000" w:rsidR="00000000" w:rsidRPr="00000000">
        <w:rPr>
          <w:vertAlign w:val="subscript"/>
          <w:rtl w:val="0"/>
        </w:rPr>
        <w:t xml:space="preserve">2</w:t>
      </w:r>
      <w:r w:rsidDel="00000000" w:rsidR="00000000" w:rsidRPr="00000000">
        <w:rPr>
          <w:rtl w:val="0"/>
        </w:rPr>
        <w:t xml:space="preserve"> curves for at least one season, and most sites (51% for CO</w:t>
      </w:r>
      <w:r w:rsidDel="00000000" w:rsidR="00000000" w:rsidRPr="00000000">
        <w:rPr>
          <w:vertAlign w:val="subscript"/>
          <w:rtl w:val="0"/>
        </w:rPr>
        <w:t xml:space="preserve">2</w:t>
      </w:r>
      <w:r w:rsidDel="00000000" w:rsidR="00000000" w:rsidRPr="00000000">
        <w:rPr>
          <w:rtl w:val="0"/>
        </w:rPr>
        <w:t xml:space="preserve"> and 89% for H</w:t>
      </w:r>
      <w:r w:rsidDel="00000000" w:rsidR="00000000" w:rsidRPr="00000000">
        <w:rPr>
          <w:vertAlign w:val="subscript"/>
          <w:rtl w:val="0"/>
        </w:rPr>
        <w:t xml:space="preserve">2</w:t>
      </w:r>
      <w:r w:rsidDel="00000000" w:rsidR="00000000" w:rsidRPr="00000000">
        <w:rPr>
          <w:rtl w:val="0"/>
        </w:rPr>
        <w:t xml:space="preserve">O) had data for the spring and summer curves. Although the </w:t>
      </w:r>
      <w:r w:rsidDel="00000000" w:rsidR="00000000" w:rsidRPr="00000000">
        <w:rPr>
          <w:rtl w:val="0"/>
        </w:rPr>
        <w:t xml:space="preserve">GF tended to undersample mid-day measurements </w:t>
      </w:r>
      <w:r w:rsidDel="00000000" w:rsidR="00000000" w:rsidRPr="00000000">
        <w:rPr>
          <w:rtl w:val="0"/>
        </w:rPr>
        <w:t xml:space="preserve">for CO</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rtl w:val="0"/>
        </w:rPr>
        <w:t xml:space="preserve">(Figure 5B)</w:t>
      </w:r>
      <w:r w:rsidDel="00000000" w:rsidR="00000000" w:rsidRPr="00000000">
        <w:rPr>
          <w:rtl w:val="0"/>
        </w:rPr>
        <w:t xml:space="preserve"> and early morning measurements for 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rtl w:val="0"/>
        </w:rPr>
        <w:t xml:space="preserve">(Figure 5C)</w:t>
      </w:r>
      <w:r w:rsidDel="00000000" w:rsidR="00000000" w:rsidRPr="00000000">
        <w:rPr>
          <w:rtl w:val="0"/>
        </w:rPr>
        <w:t xml:space="preserve">, there were no consistent patterns across ecosystem types in over- or under-sampling of total daily diel curves. </w:t>
      </w:r>
      <w:r w:rsidDel="00000000" w:rsidR="00000000" w:rsidRPr="00000000">
        <w:rPr>
          <w:rtl w:val="0"/>
        </w:rPr>
        <w:t xml:space="preserve">Seasonal daily flux rates differed by a mean absolute value of ~ 1.4 g CO</w:t>
      </w:r>
      <w:r w:rsidDel="00000000" w:rsidR="00000000" w:rsidRPr="00000000">
        <w:rPr>
          <w:vertAlign w:val="subscript"/>
          <w:rtl w:val="0"/>
        </w:rPr>
        <w:t xml:space="preserve">2</w:t>
      </w:r>
      <w:r w:rsidDel="00000000" w:rsidR="00000000" w:rsidRPr="00000000">
        <w:rPr>
          <w:rtl w:val="0"/>
        </w:rPr>
        <w:t xml:space="preserve"> m</w:t>
      </w:r>
      <w:r w:rsidDel="00000000" w:rsidR="00000000" w:rsidRPr="00000000">
        <w:rPr>
          <w:vertAlign w:val="superscript"/>
          <w:rtl w:val="0"/>
        </w:rPr>
        <w:t xml:space="preserve">-2</w:t>
      </w:r>
      <w:r w:rsidDel="00000000" w:rsidR="00000000" w:rsidRPr="00000000">
        <w:rPr>
          <w:rtl w:val="0"/>
        </w:rPr>
        <w:t xml:space="preserve"> day</w:t>
      </w:r>
      <w:r w:rsidDel="00000000" w:rsidR="00000000" w:rsidRPr="00000000">
        <w:rPr>
          <w:vertAlign w:val="superscript"/>
          <w:rtl w:val="0"/>
        </w:rPr>
        <w:t xml:space="preserve">-1</w:t>
      </w:r>
      <w:r w:rsidDel="00000000" w:rsidR="00000000" w:rsidRPr="00000000">
        <w:rPr>
          <w:rtl w:val="0"/>
        </w:rPr>
        <w:t xml:space="preserve"> and were highly variable (1.4 S.D.) across sites and seasons. The H</w:t>
      </w:r>
      <w:r w:rsidDel="00000000" w:rsidR="00000000" w:rsidRPr="00000000">
        <w:rPr>
          <w:vertAlign w:val="subscript"/>
          <w:rtl w:val="0"/>
        </w:rPr>
        <w:t xml:space="preserve">2</w:t>
      </w:r>
      <w:r w:rsidDel="00000000" w:rsidR="00000000" w:rsidRPr="00000000">
        <w:rPr>
          <w:rtl w:val="0"/>
        </w:rPr>
        <w:t xml:space="preserve">O datasets were larger, and correlations between GF and EC were stronger than those for CO</w:t>
      </w:r>
      <w:r w:rsidDel="00000000" w:rsidR="00000000" w:rsidRPr="00000000">
        <w:rPr>
          <w:vertAlign w:val="subscript"/>
          <w:rtl w:val="0"/>
        </w:rPr>
        <w:t xml:space="preserve">2</w:t>
      </w:r>
      <w:r w:rsidDel="00000000" w:rsidR="00000000" w:rsidRPr="00000000">
        <w:rPr>
          <w:rtl w:val="0"/>
        </w:rPr>
        <w:t xml:space="preserve">. Seasonal daily flux rates differed by a mean absolute value of ~ 0.19 g H</w:t>
      </w:r>
      <w:r w:rsidDel="00000000" w:rsidR="00000000" w:rsidRPr="00000000">
        <w:rPr>
          <w:vertAlign w:val="subscript"/>
          <w:rtl w:val="0"/>
        </w:rPr>
        <w:t xml:space="preserve">2</w:t>
      </w:r>
      <w:r w:rsidDel="00000000" w:rsidR="00000000" w:rsidRPr="00000000">
        <w:rPr>
          <w:rtl w:val="0"/>
        </w:rPr>
        <w:t xml:space="preserve">O m</w:t>
      </w:r>
      <w:r w:rsidDel="00000000" w:rsidR="00000000" w:rsidRPr="00000000">
        <w:rPr>
          <w:vertAlign w:val="superscript"/>
          <w:rtl w:val="0"/>
        </w:rPr>
        <w:t xml:space="preserve">-2</w:t>
      </w:r>
      <w:r w:rsidDel="00000000" w:rsidR="00000000" w:rsidRPr="00000000">
        <w:rPr>
          <w:rtl w:val="0"/>
        </w:rPr>
        <w:t xml:space="preserve"> day</w:t>
      </w:r>
      <w:r w:rsidDel="00000000" w:rsidR="00000000" w:rsidRPr="00000000">
        <w:rPr>
          <w:vertAlign w:val="superscript"/>
          <w:rtl w:val="0"/>
        </w:rPr>
        <w:t xml:space="preserve">-1</w:t>
      </w:r>
      <w:r w:rsidDel="00000000" w:rsidR="00000000" w:rsidRPr="00000000">
        <w:rPr>
          <w:rtl w:val="0"/>
        </w:rPr>
        <w:t xml:space="preserve"> (0.17 S.D.) across sites and seasons.</w:t>
      </w:r>
      <w:r w:rsidDel="00000000" w:rsidR="00000000" w:rsidRPr="00000000">
        <w:rPr>
          <w:rtl w:val="0"/>
        </w:rPr>
        <w:t xml:space="preserve"> Although differences in total daily fluxes across seasons yielded similar implications for the magnitude and sink/source strength of ecosystem fluxes, biases across ecosystem types ranged from 19 to 43% for CO</w:t>
      </w:r>
      <w:r w:rsidDel="00000000" w:rsidR="00000000" w:rsidRPr="00000000">
        <w:rPr>
          <w:vertAlign w:val="subscript"/>
          <w:rtl w:val="0"/>
        </w:rPr>
        <w:t xml:space="preserve">2</w:t>
      </w:r>
      <w:r w:rsidDel="00000000" w:rsidR="00000000" w:rsidRPr="00000000">
        <w:rPr>
          <w:rtl w:val="0"/>
        </w:rPr>
        <w:t xml:space="preserve"> and 0 to 8% for H</w:t>
      </w:r>
      <w:r w:rsidDel="00000000" w:rsidR="00000000" w:rsidRPr="00000000">
        <w:rPr>
          <w:vertAlign w:val="subscript"/>
          <w:rtl w:val="0"/>
        </w:rPr>
        <w:t xml:space="preserve">2</w:t>
      </w:r>
      <w:r w:rsidDel="00000000" w:rsidR="00000000" w:rsidRPr="00000000">
        <w:rPr>
          <w:rtl w:val="0"/>
        </w:rPr>
        <w:t xml:space="preserve">O. Correlations between GF and EC seasonal diel curves indicate that forested ecosystems were more likely to have lower R</w:t>
      </w:r>
      <w:r w:rsidDel="00000000" w:rsidR="00000000" w:rsidRPr="00000000">
        <w:rPr>
          <w:vertAlign w:val="superscript"/>
          <w:rtl w:val="0"/>
        </w:rPr>
        <w:t xml:space="preserve">2</w:t>
      </w:r>
      <w:r w:rsidDel="00000000" w:rsidR="00000000" w:rsidRPr="00000000">
        <w:rPr>
          <w:rtl w:val="0"/>
        </w:rPr>
        <w:t xml:space="preserve">, and biases were larger for CO</w:t>
      </w:r>
      <w:r w:rsidDel="00000000" w:rsidR="00000000" w:rsidRPr="00000000">
        <w:rPr>
          <w:vertAlign w:val="subscript"/>
          <w:rtl w:val="0"/>
        </w:rPr>
        <w:t xml:space="preserve">2</w:t>
      </w:r>
      <w:r w:rsidDel="00000000" w:rsidR="00000000" w:rsidRPr="00000000">
        <w:rPr>
          <w:rtl w:val="0"/>
        </w:rPr>
        <w:t xml:space="preserve"> than they were for H</w:t>
      </w:r>
      <w:r w:rsidDel="00000000" w:rsidR="00000000" w:rsidRPr="00000000">
        <w:rPr>
          <w:vertAlign w:val="subscript"/>
          <w:rtl w:val="0"/>
        </w:rPr>
        <w:t xml:space="preserve">2</w:t>
      </w:r>
      <w:r w:rsidDel="00000000" w:rsidR="00000000" w:rsidRPr="00000000">
        <w:rPr>
          <w:rtl w:val="0"/>
        </w:rPr>
        <w:t xml:space="preserve">O. Altogether, ensemble GFs provided ecosystem assessments that aligned with the EC method, and performance limitations were influenced by the availability of sufficient data to capture diel patterns across seasons. Site-based diel curves are shown in Supplement A </w:t>
      </w:r>
      <w:r w:rsidDel="00000000" w:rsidR="00000000" w:rsidRPr="00000000">
        <w:rPr>
          <w:rtl w:val="0"/>
        </w:rPr>
        <w:t xml:space="preserve">(Figures A</w:t>
      </w:r>
      <w:r w:rsidDel="00000000" w:rsidR="00000000" w:rsidRPr="00000000">
        <w:rPr>
          <w:rtl w:val="0"/>
        </w:rPr>
        <w:t xml:space="preserve">9 and A10) and comparisons of GF and EC based diels are shown in Figure A11.</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ind w:firstLine="0"/>
        <w:rPr/>
      </w:pPr>
      <w:commentRangeStart w:id="0"/>
      <w:commentRangeStart w:id="1"/>
      <w:commentRangeStart w:id="2"/>
      <w:r w:rsidDel="00000000" w:rsidR="00000000" w:rsidRPr="00000000">
        <w:rPr/>
        <mc:AlternateContent>
          <mc:Choice Requires="wpg">
            <w:drawing>
              <wp:inline distB="114300" distT="114300" distL="114300" distR="114300">
                <wp:extent cx="5831224" cy="4711259"/>
                <wp:effectExtent b="0" l="0" r="0" t="0"/>
                <wp:docPr id="2" name=""/>
                <a:graphic>
                  <a:graphicData uri="http://schemas.microsoft.com/office/word/2010/wordprocessingGroup">
                    <wpg:wgp>
                      <wpg:cNvGrpSpPr/>
                      <wpg:grpSpPr>
                        <a:xfrm>
                          <a:off x="0" y="0"/>
                          <a:ext cx="5831224" cy="4711259"/>
                          <a:chOff x="0" y="0"/>
                          <a:chExt cx="5935600" cy="4865425"/>
                        </a:xfrm>
                      </wpg:grpSpPr>
                      <pic:pic>
                        <pic:nvPicPr>
                          <pic:cNvPr id="29" name="Shape 29" title="DIEL_EcoAssessment_AA_AW.png"/>
                          <pic:cNvPicPr preferRelativeResize="0"/>
                        </pic:nvPicPr>
                        <pic:blipFill rotWithShape="1">
                          <a:blip r:embed="rId88">
                            <a:alphaModFix/>
                          </a:blip>
                          <a:srcRect b="0" l="179" r="189" t="0"/>
                          <a:stretch/>
                        </pic:blipFill>
                        <pic:spPr>
                          <a:xfrm>
                            <a:off x="152400" y="152400"/>
                            <a:ext cx="4217349" cy="3703652"/>
                          </a:xfrm>
                          <a:prstGeom prst="rect">
                            <a:avLst/>
                          </a:prstGeom>
                          <a:noFill/>
                          <a:ln>
                            <a:noFill/>
                          </a:ln>
                        </pic:spPr>
                      </pic:pic>
                      <wps:wsp>
                        <wps:cNvSpPr/>
                        <wps:cNvPr id="30" name="Shape 30"/>
                        <wps:spPr>
                          <a:xfrm rot="-2700000">
                            <a:off x="3424357" y="2392081"/>
                            <a:ext cx="2540069" cy="1128967"/>
                          </a:xfrm>
                          <a:prstGeom prst="lef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1" name="Shape 31" title="DIEL_PLOTS_SEASON_AA_AW_SUBSET.png"/>
                          <pic:cNvPicPr preferRelativeResize="0"/>
                        </pic:nvPicPr>
                        <pic:blipFill rotWithShape="1">
                          <a:blip r:embed="rId89">
                            <a:alphaModFix/>
                          </a:blip>
                          <a:srcRect b="0" l="0" r="0" t="12603"/>
                          <a:stretch/>
                        </pic:blipFill>
                        <pic:spPr>
                          <a:xfrm>
                            <a:off x="1486128" y="3040430"/>
                            <a:ext cx="2055300" cy="1796400"/>
                          </a:xfrm>
                          <a:prstGeom prst="roundRect">
                            <a:avLst>
                              <a:gd fmla="val 3249" name="adj"/>
                            </a:avLst>
                          </a:prstGeom>
                          <a:noFill/>
                          <a:ln cap="flat" cmpd="sng" w="28575">
                            <a:solidFill>
                              <a:srgbClr val="000000"/>
                            </a:solidFill>
                            <a:prstDash val="solid"/>
                            <a:round/>
                            <a:headEnd len="sm" w="sm" type="none"/>
                            <a:tailEnd len="sm" w="sm" type="none"/>
                          </a:ln>
                        </pic:spPr>
                      </pic:pic>
                      <wps:wsp>
                        <wps:cNvSpPr txBox="1"/>
                        <wps:cNvPr id="32" name="Shape 32"/>
                        <wps:spPr>
                          <a:xfrm>
                            <a:off x="146575" y="207925"/>
                            <a:ext cx="3885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A</w:t>
                              </w:r>
                            </w:p>
                          </w:txbxContent>
                        </wps:txbx>
                        <wps:bodyPr anchorCtr="0" anchor="t" bIns="91425" lIns="91425" spcFirstLastPara="1" rIns="91425" wrap="square" tIns="91425">
                          <a:noAutofit/>
                        </wps:bodyPr>
                      </wps:wsp>
                      <wps:wsp>
                        <wps:cNvSpPr txBox="1"/>
                        <wps:cNvPr id="33" name="Shape 33"/>
                        <wps:spPr>
                          <a:xfrm>
                            <a:off x="1434028" y="2968842"/>
                            <a:ext cx="388500" cy="4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w:t>
                              </w:r>
                            </w:p>
                          </w:txbxContent>
                        </wps:txbx>
                        <wps:bodyPr anchorCtr="0" anchor="t" bIns="91425" lIns="91425" spcFirstLastPara="1" rIns="91425" wrap="square" tIns="91425">
                          <a:noAutofit/>
                        </wps:bodyPr>
                      </wps:wsp>
                      <pic:pic>
                        <pic:nvPicPr>
                          <pic:cNvPr id="34" name="Shape 34" title="DIEL_PLOTS_SEASON_AA_AW_SUBSET2.png"/>
                          <pic:cNvPicPr preferRelativeResize="0"/>
                        </pic:nvPicPr>
                        <pic:blipFill>
                          <a:blip r:embed="rId90">
                            <a:alphaModFix/>
                          </a:blip>
                          <a:stretch>
                            <a:fillRect/>
                          </a:stretch>
                        </pic:blipFill>
                        <pic:spPr>
                          <a:xfrm>
                            <a:off x="4665308" y="295575"/>
                            <a:ext cx="1241700" cy="1241700"/>
                          </a:xfrm>
                          <a:prstGeom prst="roundRect">
                            <a:avLst>
                              <a:gd fmla="val 8007" name="adj"/>
                            </a:avLst>
                          </a:prstGeom>
                          <a:noFill/>
                          <a:ln cap="flat" cmpd="sng" w="28575">
                            <a:solidFill>
                              <a:srgbClr val="000000"/>
                            </a:solidFill>
                            <a:prstDash val="solid"/>
                            <a:round/>
                            <a:headEnd len="sm" w="sm" type="none"/>
                            <a:tailEnd len="sm" w="sm" type="none"/>
                          </a:ln>
                        </pic:spPr>
                      </pic:pic>
                      <wps:wsp>
                        <wps:cNvSpPr txBox="1"/>
                        <wps:cNvPr id="35" name="Shape 35"/>
                        <wps:spPr>
                          <a:xfrm>
                            <a:off x="4624423" y="217166"/>
                            <a:ext cx="3885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w:t>
                              </w:r>
                            </w:p>
                          </w:txbxContent>
                        </wps:txbx>
                        <wps:bodyPr anchorCtr="0" anchor="t" bIns="91425" lIns="91425" spcFirstLastPara="1" rIns="91425" wrap="square" tIns="91425">
                          <a:noAutofit/>
                        </wps:bodyPr>
                      </wps:wsp>
                      <wps:wsp>
                        <wps:cNvSpPr txBox="1"/>
                        <wps:cNvPr id="36" name="Shape 36"/>
                        <wps:spPr>
                          <a:xfrm>
                            <a:off x="-10" y="-7"/>
                            <a:ext cx="1833900" cy="32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Ecosystem Assessment</w:t>
                              </w:r>
                            </w:p>
                          </w:txbxContent>
                        </wps:txbx>
                        <wps:bodyPr anchorCtr="0" anchor="t" bIns="91425" lIns="91425" spcFirstLastPara="1" rIns="91425" wrap="square" tIns="91425">
                          <a:noAutofit/>
                        </wps:bodyPr>
                      </wps:wsp>
                      <wps:wsp>
                        <wps:cNvSpPr/>
                        <wps:cNvPr id="37" name="Shape 37"/>
                        <wps:spPr>
                          <a:xfrm>
                            <a:off x="4472007" y="698750"/>
                            <a:ext cx="142200" cy="419400"/>
                          </a:xfrm>
                          <a:prstGeom prst="lef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rot="5400000">
                            <a:off x="2442678" y="2709722"/>
                            <a:ext cx="142200" cy="419400"/>
                          </a:xfrm>
                          <a:prstGeom prst="lef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rot="-2569189">
                            <a:off x="4474013" y="2747846"/>
                            <a:ext cx="449034" cy="416253"/>
                            <a:chOff x="2486263" y="2883932"/>
                            <a:chExt cx="449031" cy="416250"/>
                          </a:xfrm>
                        </wpg:grpSpPr>
                        <wps:wsp>
                          <wps:cNvSpPr/>
                          <wps:cNvPr id="40" name="Shape 40"/>
                          <wps:spPr>
                            <a:xfrm>
                              <a:off x="2490813" y="2883932"/>
                              <a:ext cx="204600" cy="194700"/>
                            </a:xfrm>
                            <a:prstGeom prst="roundRect">
                              <a:avLst>
                                <a:gd fmla="val 16667" name="adj"/>
                              </a:avLst>
                            </a:prstGeom>
                            <a:solidFill>
                              <a:srgbClr val="C7A76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 name="Shape 41"/>
                          <wps:spPr>
                            <a:xfrm>
                              <a:off x="2726994" y="2885679"/>
                              <a:ext cx="204600" cy="194700"/>
                            </a:xfrm>
                            <a:prstGeom prst="roundRect">
                              <a:avLst>
                                <a:gd fmla="val 16667" name="adj"/>
                              </a:avLst>
                            </a:prstGeom>
                            <a:solidFill>
                              <a:srgbClr val="5CBD92"/>
                            </a:solidFill>
                            <a:ln cap="flat" cmpd="sng" w="9525">
                              <a:solidFill>
                                <a:srgbClr val="86B8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2" name="Shape 42"/>
                          <wps:spPr>
                            <a:xfrm>
                              <a:off x="2486263" y="3105482"/>
                              <a:ext cx="204600" cy="194700"/>
                            </a:xfrm>
                            <a:prstGeom prst="roundRect">
                              <a:avLst>
                                <a:gd fmla="val 16667" name="adj"/>
                              </a:avLst>
                            </a:prstGeom>
                            <a:solidFill>
                              <a:srgbClr val="3ABEB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3" name="Shape 43"/>
                          <wps:spPr>
                            <a:xfrm>
                              <a:off x="2730694" y="3104497"/>
                              <a:ext cx="204600" cy="194700"/>
                            </a:xfrm>
                            <a:prstGeom prst="roundRect">
                              <a:avLst>
                                <a:gd fmla="val 16667" name="adj"/>
                              </a:avLst>
                            </a:prstGeom>
                            <a:solidFill>
                              <a:srgbClr val="7DB0D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s:wsp>
                        <wps:cNvSpPr/>
                        <wps:cNvPr id="44" name="Shape 44"/>
                        <wps:spPr>
                          <a:xfrm rot="188182">
                            <a:off x="3916437" y="3345217"/>
                            <a:ext cx="450940" cy="261026"/>
                          </a:xfrm>
                          <a:custGeom>
                            <a:rect b="b" l="l" r="r" t="t"/>
                            <a:pathLst>
                              <a:path extrusionOk="0" h="12496" w="42538">
                                <a:moveTo>
                                  <a:pt x="0" y="2454"/>
                                </a:moveTo>
                                <a:cubicBezTo>
                                  <a:pt x="3147" y="2454"/>
                                  <a:pt x="6890" y="1383"/>
                                  <a:pt x="9407" y="3272"/>
                                </a:cubicBezTo>
                                <a:cubicBezTo>
                                  <a:pt x="14101" y="6795"/>
                                  <a:pt x="18847" y="13694"/>
                                  <a:pt x="24541" y="12271"/>
                                </a:cubicBezTo>
                                <a:cubicBezTo>
                                  <a:pt x="28848" y="11194"/>
                                  <a:pt x="30401" y="5593"/>
                                  <a:pt x="33540" y="2454"/>
                                </a:cubicBezTo>
                                <a:cubicBezTo>
                                  <a:pt x="35738" y="256"/>
                                  <a:pt x="39429" y="0"/>
                                  <a:pt x="42538" y="0"/>
                                </a:cubicBezTo>
                              </a:path>
                            </a:pathLst>
                          </a:custGeom>
                          <a:noFill/>
                          <a:ln cap="flat" cmpd="sng" w="9525">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SpPr/>
                        <wps:cNvPr id="45" name="Shape 45"/>
                        <wps:spPr>
                          <a:xfrm rot="187995">
                            <a:off x="3915238" y="3338610"/>
                            <a:ext cx="428040" cy="162598"/>
                          </a:xfrm>
                          <a:custGeom>
                            <a:rect b="b" l="l" r="r" t="t"/>
                            <a:pathLst>
                              <a:path extrusionOk="0" h="12496" w="42538">
                                <a:moveTo>
                                  <a:pt x="0" y="2454"/>
                                </a:moveTo>
                                <a:cubicBezTo>
                                  <a:pt x="3147" y="2454"/>
                                  <a:pt x="6890" y="1383"/>
                                  <a:pt x="9407" y="3272"/>
                                </a:cubicBezTo>
                                <a:cubicBezTo>
                                  <a:pt x="14101" y="6795"/>
                                  <a:pt x="18847" y="13694"/>
                                  <a:pt x="24541" y="12271"/>
                                </a:cubicBezTo>
                                <a:cubicBezTo>
                                  <a:pt x="28848" y="11194"/>
                                  <a:pt x="30401" y="5593"/>
                                  <a:pt x="33540" y="2454"/>
                                </a:cubicBezTo>
                                <a:cubicBezTo>
                                  <a:pt x="35738" y="256"/>
                                  <a:pt x="39429" y="0"/>
                                  <a:pt x="42538" y="0"/>
                                </a:cubicBezTo>
                              </a:path>
                            </a:pathLst>
                          </a:custGeom>
                          <a:noFill/>
                          <a:ln cap="flat" cmpd="sng" w="19050">
                            <a:solidFill>
                              <a:srgbClr val="FFFFFF"/>
                            </a:solidFill>
                            <a:prstDash val="dot"/>
                            <a:round/>
                            <a:headEnd len="med" w="med" type="none"/>
                            <a:tailEnd len="med" w="med" type="none"/>
                          </a:ln>
                        </wps:spPr>
                        <wps:bodyPr anchorCtr="0" anchor="ctr" bIns="91425" lIns="91425" spcFirstLastPara="1" rIns="91425" wrap="square" tIns="91425">
                          <a:noAutofit/>
                        </wps:bodyPr>
                      </wps:wsp>
                      <wps:wsp>
                        <wps:cNvCnPr/>
                        <wps:spPr>
                          <a:xfrm>
                            <a:off x="5065286" y="2632174"/>
                            <a:ext cx="408900" cy="102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065285" y="2304874"/>
                            <a:ext cx="0" cy="327300"/>
                          </a:xfrm>
                          <a:prstGeom prst="straightConnector1">
                            <a:avLst/>
                          </a:prstGeom>
                          <a:noFill/>
                          <a:ln cap="flat" cmpd="sng" w="9525">
                            <a:solidFill>
                              <a:srgbClr val="FFFFFF"/>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085737" y="2325521"/>
                            <a:ext cx="265800" cy="286200"/>
                          </a:xfrm>
                          <a:prstGeom prst="straightConnector1">
                            <a:avLst/>
                          </a:prstGeom>
                          <a:noFill/>
                          <a:ln cap="flat" cmpd="sng" w="19050">
                            <a:solidFill>
                              <a:srgbClr val="FFFFFF"/>
                            </a:solidFill>
                            <a:prstDash val="dot"/>
                            <a:round/>
                            <a:headEnd len="med" w="med" type="none"/>
                            <a:tailEnd len="med" w="med" type="none"/>
                          </a:ln>
                        </wps:spPr>
                        <wps:bodyPr anchorCtr="0" anchor="ctr" bIns="91425" lIns="91425" spcFirstLastPara="1" rIns="91425" wrap="square" tIns="91425">
                          <a:noAutofit/>
                        </wps:bodyPr>
                      </wps:wsp>
                      <wps:wsp>
                        <wps:cNvSpPr/>
                        <wps:cNvPr id="49" name="Shape 49"/>
                        <wps:spPr>
                          <a:xfrm rot="-2568266">
                            <a:off x="4572040" y="2807219"/>
                            <a:ext cx="265784" cy="285319"/>
                          </a:xfrm>
                          <a:prstGeom prst="rightArrow">
                            <a:avLst>
                              <a:gd fmla="val 50000" name="adj1"/>
                              <a:gd fmla="val 50000" name="adj2"/>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0" name="Shape 50"/>
                        <wps:spPr>
                          <a:xfrm>
                            <a:off x="132925" y="173825"/>
                            <a:ext cx="4274325" cy="3619900"/>
                          </a:xfrm>
                          <a:custGeom>
                            <a:rect b="b" l="l" r="r" t="t"/>
                            <a:pathLst>
                              <a:path extrusionOk="0" h="144796" w="170973">
                                <a:moveTo>
                                  <a:pt x="58491" y="0"/>
                                </a:moveTo>
                                <a:lnTo>
                                  <a:pt x="170973" y="409"/>
                                </a:lnTo>
                                <a:lnTo>
                                  <a:pt x="170155" y="104711"/>
                                </a:lnTo>
                                <a:lnTo>
                                  <a:pt x="50720" y="104711"/>
                                </a:lnTo>
                                <a:lnTo>
                                  <a:pt x="50720" y="144387"/>
                                </a:lnTo>
                                <a:lnTo>
                                  <a:pt x="0" y="144796"/>
                                </a:lnTo>
                                <a:lnTo>
                                  <a:pt x="409" y="2046"/>
                                </a:ln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2065575" y="2525746"/>
                            <a:ext cx="1475700" cy="28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GF (g m</w:t>
                              </w:r>
                              <w:r w:rsidDel="00000000" w:rsidR="00000000" w:rsidRPr="00000000">
                                <w:rPr>
                                  <w:rFonts w:ascii="Arial" w:cs="Arial" w:eastAsia="Arial" w:hAnsi="Arial"/>
                                  <w:b w:val="0"/>
                                  <w:i w:val="0"/>
                                  <w:smallCaps w:val="0"/>
                                  <w:strike w:val="0"/>
                                  <w:color w:val="000000"/>
                                  <w:sz w:val="14"/>
                                  <w:vertAlign w:val="superscript"/>
                                </w:rPr>
                                <w:t xml:space="preserve">-2</w:t>
                              </w:r>
                              <w:r w:rsidDel="00000000" w:rsidR="00000000" w:rsidRPr="00000000">
                                <w:rPr>
                                  <w:rFonts w:ascii="Arial" w:cs="Arial" w:eastAsia="Arial" w:hAnsi="Arial"/>
                                  <w:b w:val="0"/>
                                  <w:i w:val="0"/>
                                  <w:smallCaps w:val="0"/>
                                  <w:strike w:val="0"/>
                                  <w:color w:val="000000"/>
                                  <w:sz w:val="14"/>
                                  <w:vertAlign w:val="baseline"/>
                                </w:rPr>
                                <w:t xml:space="preserve"> day</w:t>
                              </w:r>
                              <w:r w:rsidDel="00000000" w:rsidR="00000000" w:rsidRPr="00000000">
                                <w:rPr>
                                  <w:rFonts w:ascii="Arial" w:cs="Arial" w:eastAsia="Arial" w:hAnsi="Arial"/>
                                  <w:b w:val="0"/>
                                  <w:i w:val="0"/>
                                  <w:smallCaps w:val="0"/>
                                  <w:strike w:val="0"/>
                                  <w:color w:val="000000"/>
                                  <w:sz w:val="14"/>
                                  <w:vertAlign w:val="superscript"/>
                                </w:rPr>
                                <w:t xml:space="preserve">-1</w:t>
                              </w:r>
                              <w:r w:rsidDel="00000000" w:rsidR="00000000" w:rsidRPr="00000000">
                                <w:rPr>
                                  <w:rFonts w:ascii="Arial" w:cs="Arial" w:eastAsia="Arial" w:hAnsi="Arial"/>
                                  <w:b w:val="0"/>
                                  <w:i w:val="0"/>
                                  <w:smallCaps w:val="0"/>
                                  <w:strike w:val="0"/>
                                  <w:color w:val="000000"/>
                                  <w:sz w:val="14"/>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31224" cy="4711259"/>
                <wp:effectExtent b="0" l="0" r="0" t="0"/>
                <wp:docPr id="2" name="image5.png"/>
                <a:graphic>
                  <a:graphicData uri="http://schemas.openxmlformats.org/drawingml/2006/picture">
                    <pic:pic>
                      <pic:nvPicPr>
                        <pic:cNvPr id="0" name="image5.png"/>
                        <pic:cNvPicPr preferRelativeResize="0"/>
                      </pic:nvPicPr>
                      <pic:blipFill>
                        <a:blip r:embed="rId40"/>
                        <a:srcRect/>
                        <a:stretch>
                          <a:fillRect/>
                        </a:stretch>
                      </pic:blipFill>
                      <pic:spPr>
                        <a:xfrm>
                          <a:off x="0" y="0"/>
                          <a:ext cx="5831224" cy="4711259"/>
                        </a:xfrm>
                        <a:prstGeom prst="rect"/>
                        <a:ln/>
                      </pic:spPr>
                    </pic:pic>
                  </a:graphicData>
                </a:graphic>
              </wp:inline>
            </w:drawing>
          </mc:Fallback>
        </mc:AlternateConten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5">
      <w:pPr>
        <w:spacing w:after="240" w:before="240" w:lineRule="auto"/>
        <w:ind w:firstLine="0"/>
        <w:rPr/>
      </w:pPr>
      <w:commentRangeStart w:id="3"/>
      <w:commentRangeStart w:id="4"/>
      <w:commentRangeStart w:id="5"/>
      <w:commentRangeStart w:id="6"/>
      <w:commentRangeStart w:id="7"/>
      <w:r w:rsidDel="00000000" w:rsidR="00000000" w:rsidRPr="00000000">
        <w:rPr>
          <w:rtl w:val="0"/>
        </w:rPr>
        <w:t xml:space="preserve">Figure </w:t>
      </w:r>
      <w:r w:rsidDel="00000000" w:rsidR="00000000" w:rsidRPr="00000000">
        <w:rPr>
          <w:rtl w:val="0"/>
        </w:rPr>
        <w:t xml:space="preserve">9. The correlation strength (R</w:t>
      </w:r>
      <w:r w:rsidDel="00000000" w:rsidR="00000000" w:rsidRPr="00000000">
        <w:rPr>
          <w:vertAlign w:val="superscript"/>
          <w:rtl w:val="0"/>
        </w:rPr>
        <w:t xml:space="preserve">2</w:t>
      </w:r>
      <w:r w:rsidDel="00000000" w:rsidR="00000000" w:rsidRPr="00000000">
        <w:rPr>
          <w:rtl w:val="0"/>
        </w:rPr>
        <w:t xml:space="preserve">) and slope (y) for total daily ensemble GF versus EC (A) based on diel curves for CO</w:t>
      </w:r>
      <w:r w:rsidDel="00000000" w:rsidR="00000000" w:rsidRPr="00000000">
        <w:rPr>
          <w:vertAlign w:val="subscript"/>
          <w:rtl w:val="0"/>
        </w:rPr>
        <w:t xml:space="preserve">2</w:t>
      </w:r>
      <w:r w:rsidDel="00000000" w:rsidR="00000000" w:rsidRPr="00000000">
        <w:rPr>
          <w:rtl w:val="0"/>
        </w:rPr>
        <w:t xml:space="preserve"> (B) and H</w:t>
      </w:r>
      <w:r w:rsidDel="00000000" w:rsidR="00000000" w:rsidRPr="00000000">
        <w:rPr>
          <w:vertAlign w:val="subscript"/>
          <w:rtl w:val="0"/>
        </w:rPr>
        <w:t xml:space="preserve">2</w:t>
      </w:r>
      <w:r w:rsidDel="00000000" w:rsidR="00000000" w:rsidRPr="00000000">
        <w:rPr>
          <w:rtl w:val="0"/>
        </w:rPr>
        <w:t xml:space="preserve">O (C) across seasons for ecosystem types. The dashed line in panel A is a one to one line. Panels B and C show diel curves for a subset of sites: the arid grassland in the Jornada Basin (JORN), the tallgrass prairie in Konza Prairie (KONZ),  the tropical evergreen forest at </w:t>
      </w:r>
      <w:r w:rsidDel="00000000" w:rsidR="00000000" w:rsidRPr="00000000">
        <w:rPr>
          <w:rtl w:val="0"/>
        </w:rPr>
        <w:t xml:space="preserve">Guanica Forest (GUAN), and </w:t>
      </w:r>
      <w:r w:rsidDel="00000000" w:rsidR="00000000" w:rsidRPr="00000000">
        <w:rPr>
          <w:rtl w:val="0"/>
        </w:rPr>
        <w:t xml:space="preserve">the temperate mixed forest at Harvard Forest (HARV)</w:t>
      </w:r>
      <w:r w:rsidDel="00000000" w:rsidR="00000000" w:rsidRPr="00000000">
        <w:rPr>
          <w:rtl w:val="0"/>
        </w:rPr>
        <w:t xml:space="preserve">. The solid lines in panel B and C are GF diels and the dashed lines are EC diels. </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6">
      <w:pPr>
        <w:pStyle w:val="Heading1"/>
        <w:numPr>
          <w:ilvl w:val="0"/>
          <w:numId w:val="1"/>
        </w:numPr>
        <w:ind w:left="450" w:hanging="360"/>
      </w:pPr>
      <w:bookmarkStart w:colFirst="0" w:colLast="0" w:name="_e2600tlf2qes" w:id="14"/>
      <w:bookmarkEnd w:id="14"/>
      <w:commentRangeStart w:id="8"/>
      <w:r w:rsidDel="00000000" w:rsidR="00000000" w:rsidRPr="00000000">
        <w:rPr>
          <w:rtl w:val="0"/>
        </w:rPr>
        <w:t xml:space="preserve">Discussion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37">
      <w:pPr>
        <w:spacing w:after="240" w:before="240" w:lineRule="auto"/>
        <w:ind w:left="0" w:firstLine="720"/>
        <w:rPr/>
      </w:pPr>
      <w:r w:rsidDel="00000000" w:rsidR="00000000" w:rsidRPr="00000000">
        <w:rPr>
          <w:rtl w:val="0"/>
        </w:rPr>
        <w:t xml:space="preserve">Across terrestrial ecosystems</w:t>
      </w:r>
      <w:r w:rsidDel="00000000" w:rsidR="00000000" w:rsidRPr="00000000">
        <w:rPr>
          <w:i w:val="1"/>
          <w:iCs w:val="1"/>
          <w:rtl w:val="0"/>
        </w:rPr>
        <w:t xml:space="preserve">, </w:t>
      </w:r>
      <w:r w:rsidDel="00000000" w:rsidR="00000000" w:rsidRPr="00000000">
        <w:rPr>
          <w:rtl w:val="0"/>
        </w:rPr>
        <w:t xml:space="preserve">the GF method can yield reliable estimates of ecosystem fluxes </w:t>
      </w:r>
      <w:hyperlink r:id="rId91">
        <w:r w:rsidDel="00000000" w:rsidR="00000000" w:rsidRPr="00000000">
          <w:rPr>
            <w:b w:val="0"/>
            <w:bCs w:val="0"/>
            <w:color w:val="000000"/>
            <w:u w:val="none"/>
            <w:rtl w:val="0"/>
          </w:rPr>
          <w:t xml:space="preserve">(Meredith et al., 2014; Mölder et al., 1999; Raupach and Legg, 1984; Zhao et al., 2019)</w:t>
        </w:r>
      </w:hyperlink>
      <w:r w:rsidDel="00000000" w:rsidR="00000000" w:rsidRPr="00000000">
        <w:rPr>
          <w:rtl w:val="0"/>
        </w:rPr>
        <w:t xml:space="preserve">. Surprisingly, the GF approach worked better for H</w:t>
      </w:r>
      <w:r w:rsidDel="00000000" w:rsidR="00000000" w:rsidRPr="00000000">
        <w:rPr>
          <w:vertAlign w:val="subscript"/>
          <w:rtl w:val="0"/>
        </w:rPr>
        <w:t xml:space="preserve">2</w:t>
      </w:r>
      <w:r w:rsidDel="00000000" w:rsidR="00000000" w:rsidRPr="00000000">
        <w:rPr>
          <w:rtl w:val="0"/>
        </w:rPr>
        <w:t xml:space="preserve">O than for CO</w:t>
      </w:r>
      <w:r w:rsidDel="00000000" w:rsidR="00000000" w:rsidRPr="00000000">
        <w:rPr>
          <w:vertAlign w:val="subscript"/>
          <w:rtl w:val="0"/>
        </w:rPr>
        <w:t xml:space="preserve">2</w:t>
      </w:r>
      <w:r w:rsidDel="00000000" w:rsidR="00000000" w:rsidRPr="00000000">
        <w:rPr>
          <w:rtl w:val="0"/>
        </w:rPr>
        <w:t xml:space="preserve">, and reliable sampling height pairs were gas-dependent. Across gases, the MBR approach produced reliable fluxes when both measurement levels were above the canopy (Meredith et al., 2014), showed higher concordance when measurements were farther from the mean canopy height, and exhibited stronger agreement with much smaller datasets than other approaches. The AE and WP performed best for canopy-level AW </w:t>
      </w:r>
      <w:hyperlink r:id="rId92">
        <w:r w:rsidDel="00000000" w:rsidR="00000000" w:rsidRPr="00000000">
          <w:rPr>
            <w:b w:val="0"/>
            <w:bCs w:val="0"/>
            <w:color w:val="000000"/>
            <w:u w:val="none"/>
            <w:rtl w:val="0"/>
          </w:rPr>
          <w:t xml:space="preserve">(Meredith et al., 2014)</w:t>
        </w:r>
      </w:hyperlink>
      <w:r w:rsidDel="00000000" w:rsidR="00000000" w:rsidRPr="00000000">
        <w:rPr>
          <w:rtl w:val="0"/>
        </w:rPr>
        <w:t xml:space="preserve"> when measurement levels were closer to the mean canopy height, yielding larger datasets than the MBR. Although concordance was weak to moderate for half-hourly fluxes, concordance between diel curves for ensemble GFs and EC was strong when sufficient data were present to capture seasonal patterns. The GF method performed well at short-stature sites under favorable conditions and also at forested sites when fluxes were cross-canopy (AW). The major limitation was the amount of available data and its representativeness of variation in conditions within and across ecosystems. Temporal overlap between GF approaches and sampling height pairs was low on average, suggesting that using multiple approaches and measurement levels could enhance temporal coverage of the flux data. Using an ensemble of all reliable GFs provided sufficient data to understand patterns in ecosystem function across seasons.</w:t>
      </w:r>
    </w:p>
    <w:p w:rsidR="00000000" w:rsidDel="00000000" w:rsidP="00000000" w:rsidRDefault="00000000" w:rsidRPr="00000000" w14:paraId="00000138">
      <w:pPr>
        <w:pStyle w:val="Heading3"/>
        <w:ind w:firstLine="0"/>
        <w:rPr>
          <w:rFonts w:ascii="Roboto" w:cs="Roboto" w:eastAsia="Roboto" w:hAnsi="Roboto"/>
          <w:color w:val="444746"/>
          <w:sz w:val="21"/>
          <w:szCs w:val="21"/>
        </w:rPr>
      </w:pPr>
      <w:bookmarkStart w:colFirst="0" w:colLast="0" w:name="_6ugqpjr91ojp" w:id="15"/>
      <w:bookmarkEnd w:id="15"/>
      <w:r w:rsidDel="00000000" w:rsidR="00000000" w:rsidRPr="00000000">
        <w:rPr>
          <w:rtl w:val="0"/>
        </w:rPr>
        <w:t xml:space="preserve">4.1</w:t>
      </w:r>
      <w:r w:rsidDel="00000000" w:rsidR="00000000" w:rsidRPr="00000000">
        <w:rPr>
          <w:rtl w:val="0"/>
        </w:rPr>
        <w:t xml:space="preserve">.</w:t>
      </w:r>
      <w:r w:rsidDel="00000000" w:rsidR="00000000" w:rsidRPr="00000000">
        <w:rPr>
          <w:rtl w:val="0"/>
        </w:rPr>
        <w:t xml:space="preserve"> H</w:t>
      </w:r>
      <w:r w:rsidDel="00000000" w:rsidR="00000000" w:rsidRPr="00000000">
        <w:rPr>
          <w:rtl w:val="0"/>
        </w:rPr>
        <w:t xml:space="preserve">ow well does the GF method perform across different ecosystems?</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GF method </w:t>
      </w:r>
      <w:r w:rsidDel="00000000" w:rsidR="00000000" w:rsidRPr="00000000">
        <w:rPr>
          <w:rtl w:val="0"/>
        </w:rPr>
        <w:t xml:space="preserve">produced reliable fluxes across ecosystems when measurements were above or across the canopy </w:t>
      </w:r>
      <w:hyperlink r:id="rId93">
        <w:r w:rsidDel="00000000" w:rsidR="00000000" w:rsidRPr="00000000">
          <w:rPr>
            <w:b w:val="0"/>
            <w:bCs w:val="0"/>
            <w:color w:val="000000"/>
            <w:u w:val="none"/>
            <w:rtl w:val="0"/>
          </w:rPr>
          <w:t xml:space="preserve">(Meredith et al., 2014; Mölder et al., 1999; Raupach and Legg, 1984; Zhao et al., 2019)</w:t>
        </w:r>
      </w:hyperlink>
      <w:r w:rsidDel="00000000" w:rsidR="00000000" w:rsidRPr="00000000">
        <w:rPr>
          <w:rtl w:val="0"/>
        </w:rPr>
        <w:t xml:space="preserve">. Ecosystems with short canopies often showed stronger agreement between GF and EC than those with tall canopies, a pattern observed across NEON sites. Lower performance in tall ecosystems was likely influenced by the proximity of tall canopies to the roughness sublayer, where the validity of similarity theory is in doubt </w:t>
      </w:r>
      <w:hyperlink r:id="rId94">
        <w:r w:rsidDel="00000000" w:rsidR="00000000" w:rsidRPr="00000000">
          <w:rPr>
            <w:b w:val="0"/>
            <w:bCs w:val="0"/>
            <w:color w:val="000000"/>
            <w:u w:val="none"/>
            <w:rtl w:val="0"/>
          </w:rPr>
          <w:t xml:space="preserve">(Simpson et al., 1997)</w:t>
        </w:r>
      </w:hyperlink>
      <w:r w:rsidDel="00000000" w:rsidR="00000000" w:rsidRPr="00000000">
        <w:rPr>
          <w:rtl w:val="0"/>
        </w:rPr>
        <w:t xml:space="preserve">. With tall canopies, the distance between measurement pairs can also become limited by the tower height and gradient strength </w:t>
      </w:r>
      <w:hyperlink r:id="rId95">
        <w:r w:rsidDel="00000000" w:rsidR="00000000" w:rsidRPr="00000000">
          <w:rPr>
            <w:b w:val="0"/>
            <w:bCs w:val="0"/>
            <w:color w:val="000000"/>
            <w:u w:val="none"/>
            <w:rtl w:val="0"/>
          </w:rPr>
          <w:t xml:space="preserve">(Mölder et al., 1999; Simpson et al., 1998)</w:t>
        </w:r>
      </w:hyperlink>
      <w:r w:rsidDel="00000000" w:rsidR="00000000" w:rsidRPr="00000000">
        <w:rPr>
          <w:rtl w:val="0"/>
        </w:rPr>
        <w:t xml:space="preserve">.</w:t>
      </w:r>
      <w:r w:rsidDel="00000000" w:rsidR="00000000" w:rsidRPr="00000000">
        <w:rPr>
          <w:rtl w:val="0"/>
        </w:rPr>
        <w:t xml:space="preserve"> Flux-gradient theories have been found to overestimate scalar fluxes within the roughness sublayer (ground to 2 or 3 times the canopy height) because turbulent structure is strongly influenced by the canopy </w:t>
      </w:r>
      <w:hyperlink r:id="rId96">
        <w:r w:rsidDel="00000000" w:rsidR="00000000" w:rsidRPr="00000000">
          <w:rPr>
            <w:b w:val="0"/>
            <w:bCs w:val="0"/>
            <w:color w:val="000000"/>
            <w:u w:val="none"/>
            <w:rtl w:val="0"/>
          </w:rPr>
          <w:t xml:space="preserve">(Baldocchi and Meyers, 1991; Högström et al., 1989; Kenion et al., 2024; Raupach and Thom, 1981; Simpson et al., 1998)</w:t>
        </w:r>
      </w:hyperlink>
      <w:r w:rsidDel="00000000" w:rsidR="00000000" w:rsidRPr="00000000">
        <w:rPr>
          <w:rtl w:val="0"/>
        </w:rPr>
        <w:t xml:space="preserve">, especially for tall vegetation </w:t>
      </w:r>
      <w:hyperlink r:id="rId97">
        <w:r w:rsidDel="00000000" w:rsidR="00000000" w:rsidRPr="00000000">
          <w:rPr>
            <w:b w:val="0"/>
            <w:bCs w:val="0"/>
            <w:color w:val="000000"/>
            <w:u w:val="none"/>
            <w:rtl w:val="0"/>
          </w:rPr>
          <w:t xml:space="preserve">(Garratt, 1978)</w:t>
        </w:r>
      </w:hyperlink>
      <w:r w:rsidDel="00000000" w:rsidR="00000000" w:rsidRPr="00000000">
        <w:rPr>
          <w:rtl w:val="0"/>
        </w:rPr>
        <w:t xml:space="preserve">. That said, t</w:t>
      </w:r>
      <w:r w:rsidDel="00000000" w:rsidR="00000000" w:rsidRPr="00000000">
        <w:rPr>
          <w:rtl w:val="0"/>
        </w:rPr>
        <w:t xml:space="preserve">he application of the GF method requires appropriate measurement systems and may require site-specific universal functions to improve GF performance within the roughness sublayer </w:t>
      </w:r>
      <w:hyperlink r:id="rId98">
        <w:r w:rsidDel="00000000" w:rsidR="00000000" w:rsidRPr="00000000">
          <w:rPr>
            <w:b w:val="0"/>
            <w:bCs w:val="0"/>
            <w:color w:val="000000"/>
            <w:u w:val="none"/>
            <w:rtl w:val="0"/>
          </w:rPr>
          <w:t xml:space="preserve">(Mölder et al., 1999)</w:t>
        </w:r>
      </w:hyperlink>
      <w:r w:rsidDel="00000000" w:rsidR="00000000" w:rsidRPr="00000000">
        <w:rPr>
          <w:rtl w:val="0"/>
        </w:rPr>
        <w:t xml:space="preserve">, especially above forests, </w:t>
      </w:r>
      <w:r w:rsidDel="00000000" w:rsidR="00000000" w:rsidRPr="00000000">
        <w:rPr>
          <w:rtl w:val="0"/>
        </w:rPr>
        <w:t xml:space="preserve">at just 1.2-1.4 times the canopy height</w:t>
      </w:r>
      <w:r w:rsidDel="00000000" w:rsidR="00000000" w:rsidRPr="00000000">
        <w:rPr>
          <w:rtl w:val="0"/>
        </w:rPr>
        <w:t xml:space="preserve"> </w:t>
      </w:r>
      <w:hyperlink r:id="rId99">
        <w:r w:rsidDel="00000000" w:rsidR="00000000" w:rsidRPr="00000000">
          <w:rPr>
            <w:b w:val="0"/>
            <w:bCs w:val="0"/>
            <w:color w:val="000000"/>
            <w:u w:val="none"/>
            <w:rtl w:val="0"/>
          </w:rPr>
          <w:t xml:space="preserve">(Meredith et al., 2014; Simpson et al., 1998)</w:t>
        </w:r>
      </w:hyperlink>
      <w:r w:rsidDel="00000000" w:rsidR="00000000" w:rsidRPr="00000000">
        <w:rPr>
          <w:rtl w:val="0"/>
        </w:rPr>
        <w:t xml:space="preserve">. </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t xml:space="preserve">4.2</w:t>
      </w:r>
      <w:r w:rsidDel="00000000" w:rsidR="00000000" w:rsidRPr="00000000">
        <w:rPr>
          <w:rtl w:val="0"/>
        </w:rPr>
        <w:t xml:space="preserve">. </w:t>
      </w:r>
      <w:r w:rsidDel="00000000" w:rsidR="00000000" w:rsidRPr="00000000">
        <w:rPr>
          <w:rtl w:val="0"/>
        </w:rPr>
        <w:t xml:space="preserve">Which sampling height pairs provide the most reliable GFs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spacing w:after="0" w:before="0" w:line="240" w:lineRule="auto"/>
        <w:ind w:firstLine="720"/>
        <w:rPr/>
      </w:pPr>
      <w:r w:rsidDel="00000000" w:rsidR="00000000" w:rsidRPr="00000000">
        <w:rPr>
          <w:rtl w:val="0"/>
        </w:rPr>
        <w:t xml:space="preserve">Across NEON sites, concordance varied with canopy structure. As canopy diversity was positively correlated with mean canopy height within the footprint, the canopy levels that produced reliable ecosystem fluxes were most often AA </w:t>
      </w:r>
      <w:hyperlink r:id="rId100">
        <w:r w:rsidDel="00000000" w:rsidR="00000000" w:rsidRPr="00000000">
          <w:rPr>
            <w:b w:val="0"/>
            <w:bCs w:val="0"/>
            <w:color w:val="000000"/>
            <w:u w:val="none"/>
            <w:rtl w:val="0"/>
          </w:rPr>
          <w:t xml:space="preserve">(Meredith et al., 2014)</w:t>
        </w:r>
      </w:hyperlink>
      <w:r w:rsidDel="00000000" w:rsidR="00000000" w:rsidRPr="00000000">
        <w:rPr>
          <w:rtl w:val="0"/>
        </w:rPr>
        <w:t xml:space="preserve">. While </w:t>
      </w:r>
      <w:r w:rsidDel="00000000" w:rsidR="00000000" w:rsidRPr="00000000">
        <w:rPr>
          <w:rtl w:val="0"/>
        </w:rPr>
        <w:t xml:space="preserve">we did not expect exact agreement between EC and GF due to the mismatch in measurement footprints</w:t>
      </w:r>
      <w:r w:rsidDel="00000000" w:rsidR="00000000" w:rsidRPr="00000000">
        <w:rPr>
          <w:rtl w:val="0"/>
        </w:rPr>
        <w:t xml:space="preserve"> and site turbulence characteristics, we did expect to see fluxes of comparable magnitude with similar diel patterns </w:t>
      </w:r>
      <w:hyperlink r:id="rId101">
        <w:r w:rsidDel="00000000" w:rsidR="00000000" w:rsidRPr="00000000">
          <w:rPr>
            <w:b w:val="0"/>
            <w:bCs w:val="0"/>
            <w:color w:val="000000"/>
            <w:u w:val="none"/>
            <w:rtl w:val="0"/>
          </w:rPr>
          <w:t xml:space="preserve">(Meredith et al., 2014)</w:t>
        </w:r>
      </w:hyperlink>
      <w:r w:rsidDel="00000000" w:rsidR="00000000" w:rsidRPr="00000000">
        <w:rPr>
          <w:rtl w:val="0"/>
        </w:rPr>
        <w:t xml:space="preserve">. </w:t>
      </w:r>
      <w:r w:rsidDel="00000000" w:rsidR="00000000" w:rsidRPr="00000000">
        <w:rPr>
          <w:sz w:val="21"/>
          <w:szCs w:val="21"/>
          <w:rtl w:val="0"/>
        </w:rPr>
        <w:t xml:space="preserve"> Footprint effects are more likely to become significant when observations are made at heights that are not yet well-mixed, such as within the roughness sublayer, and require particular caution when applying the GF method</w:t>
      </w:r>
      <w:r w:rsidDel="00000000" w:rsidR="00000000" w:rsidRPr="00000000">
        <w:rPr>
          <w:rFonts w:ascii="Roboto" w:cs="Roboto" w:eastAsia="Roboto" w:hAnsi="Roboto"/>
          <w:color w:val="444746"/>
          <w:sz w:val="21"/>
          <w:szCs w:val="21"/>
          <w:rtl w:val="0"/>
        </w:rPr>
        <w:t xml:space="preserve">.</w:t>
      </w:r>
      <w:r w:rsidDel="00000000" w:rsidR="00000000" w:rsidRPr="00000000">
        <w:rPr>
          <w:rtl w:val="0"/>
        </w:rPr>
        <w:t xml:space="preserve"> </w:t>
      </w:r>
      <w:r w:rsidDel="00000000" w:rsidR="00000000" w:rsidRPr="00000000">
        <w:rPr>
          <w:rtl w:val="0"/>
        </w:rPr>
        <w:t xml:space="preserve">The vertical distribution of sources and sinks also influences the determination of reliable sampling height pairs. In general, all GF approaches require that there are no sources or sinks of the trace gas or the reference species between the gradient inlets </w:t>
      </w:r>
      <w:hyperlink r:id="rId102">
        <w:r w:rsidDel="00000000" w:rsidR="00000000" w:rsidRPr="00000000">
          <w:rPr>
            <w:b w:val="0"/>
            <w:bCs w:val="0"/>
            <w:color w:val="000000"/>
            <w:u w:val="none"/>
            <w:rtl w:val="0"/>
          </w:rPr>
          <w:t xml:space="preserve">(Meredith et al., 2014)</w:t>
        </w:r>
      </w:hyperlink>
      <w:r w:rsidDel="00000000" w:rsidR="00000000" w:rsidRPr="00000000">
        <w:rPr>
          <w:rtl w:val="0"/>
        </w:rPr>
        <w:t xml:space="preserve">. Yet, under these conditions, whole-canopy gradients should be used only when canopy gas fluxes are minimal </w:t>
      </w:r>
      <w:hyperlink r:id="rId103">
        <w:r w:rsidDel="00000000" w:rsidR="00000000" w:rsidRPr="00000000">
          <w:rPr>
            <w:b w:val="0"/>
            <w:bCs w:val="0"/>
            <w:color w:val="000000"/>
            <w:u w:val="none"/>
            <w:rtl w:val="0"/>
          </w:rPr>
          <w:t xml:space="preserve">(Meredith et al., 2014)</w:t>
        </w:r>
      </w:hyperlink>
      <w:r w:rsidDel="00000000" w:rsidR="00000000" w:rsidRPr="00000000">
        <w:rPr>
          <w:rtl w:val="0"/>
        </w:rPr>
        <w:t xml:space="preserve">. </w:t>
      </w:r>
      <w:r w:rsidDel="00000000" w:rsidR="00000000" w:rsidRPr="00000000">
        <w:rPr>
          <w:rtl w:val="0"/>
        </w:rPr>
        <w:t xml:space="preserve">Regardless of the GF approach, when using AW pairs, whole-canopy fluxes are limited during the daytime growing season due to canopy interference </w:t>
      </w:r>
      <w:hyperlink r:id="rId104">
        <w:r w:rsidDel="00000000" w:rsidR="00000000" w:rsidRPr="00000000">
          <w:rPr>
            <w:b w:val="0"/>
            <w:bCs w:val="0"/>
            <w:color w:val="000000"/>
            <w:u w:val="none"/>
            <w:rtl w:val="0"/>
          </w:rPr>
          <w:t xml:space="preserve">(Meredith et al., 2014)</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Studies have shown that GF</w:t>
      </w:r>
      <w:r w:rsidDel="00000000" w:rsidR="00000000" w:rsidRPr="00000000">
        <w:rPr>
          <w:rtl w:val="0"/>
        </w:rPr>
        <w:t xml:space="preserve"> schemes can fail within the canopy </w:t>
      </w:r>
      <w:hyperlink r:id="rId105">
        <w:r w:rsidDel="00000000" w:rsidR="00000000" w:rsidRPr="00000000">
          <w:rPr>
            <w:b w:val="0"/>
            <w:bCs w:val="0"/>
            <w:color w:val="000000"/>
            <w:u w:val="none"/>
            <w:rtl w:val="0"/>
          </w:rPr>
          <w:t xml:space="preserve">(Amiro, 1990; Baldocchi and Meyers, 1991, 1998; Meredith et al., 2014; Raupach and Thom, 1981; Shaw, 1977)</w:t>
        </w:r>
      </w:hyperlink>
      <w:r w:rsidDel="00000000" w:rsidR="00000000" w:rsidRPr="00000000">
        <w:rPr>
          <w:rtl w:val="0"/>
        </w:rPr>
        <w:t xml:space="preserve">, where countergradient or zero-gradient fluxes are observed </w:t>
      </w:r>
      <w:hyperlink r:id="rId106">
        <w:r w:rsidDel="00000000" w:rsidR="00000000" w:rsidRPr="00000000">
          <w:rPr>
            <w:b w:val="0"/>
            <w:bCs w:val="0"/>
            <w:color w:val="000000"/>
            <w:u w:val="none"/>
            <w:rtl w:val="0"/>
          </w:rPr>
          <w:t xml:space="preserve">(Denmead and Bradley, 1985)</w:t>
        </w:r>
      </w:hyperlink>
      <w:r w:rsidDel="00000000" w:rsidR="00000000" w:rsidRPr="00000000">
        <w:rPr>
          <w:rtl w:val="0"/>
        </w:rPr>
        <w:t xml:space="preserve">, due in part to the sporadic penetration of transporting eddies into the canopy. Specifically, for the MBR to work, the tracer gas should not exhibit a significantly different vertical distribution of sources and sinks </w:t>
      </w:r>
      <w:hyperlink r:id="rId107">
        <w:r w:rsidDel="00000000" w:rsidR="00000000" w:rsidRPr="00000000">
          <w:rPr>
            <w:b w:val="0"/>
            <w:bCs w:val="0"/>
            <w:color w:val="000000"/>
            <w:u w:val="none"/>
            <w:rtl w:val="0"/>
          </w:rPr>
          <w:t xml:space="preserve">(Meredith et al., 2014)</w:t>
        </w:r>
      </w:hyperlink>
      <w:r w:rsidDel="00000000" w:rsidR="00000000" w:rsidRPr="00000000">
        <w:rPr>
          <w:rtl w:val="0"/>
        </w:rPr>
        <w:t xml:space="preserve">. The assumption made by the MBR approach, that eddy diffusivity is invariant among the target gas species and the scalar used as the tracer, is valid when the gases and the tracer have similar vertical distributions of their source or sink locations </w:t>
      </w:r>
      <w:hyperlink r:id="rId108">
        <w:r w:rsidDel="00000000" w:rsidR="00000000" w:rsidRPr="00000000">
          <w:rPr>
            <w:b w:val="0"/>
            <w:bCs w:val="0"/>
            <w:color w:val="000000"/>
            <w:u w:val="none"/>
            <w:rtl w:val="0"/>
          </w:rPr>
          <w:t xml:space="preserve">(Laubach et al., 2016; Meredith et al., 2014; Wolf et al., 2008)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Horizontal</w:t>
      </w:r>
      <w:r w:rsidDel="00000000" w:rsidR="00000000" w:rsidRPr="00000000">
        <w:rPr>
          <w:rtl w:val="0"/>
        </w:rPr>
        <w:t xml:space="preserve"> canopy heterogeneity is also a crucial factor for reliable flux calculations and comparability between the EC and GF </w:t>
      </w:r>
      <w:hyperlink r:id="rId109">
        <w:r w:rsidDel="00000000" w:rsidR="00000000" w:rsidRPr="00000000">
          <w:rPr>
            <w:b w:val="0"/>
            <w:bCs w:val="0"/>
            <w:color w:val="000000"/>
            <w:u w:val="none"/>
            <w:rtl w:val="0"/>
          </w:rPr>
          <w:t xml:space="preserve">(Kenion et al., 2024; Meredith et al., 2014; Zhao et al., 2019)</w:t>
        </w:r>
      </w:hyperlink>
      <w:r w:rsidDel="00000000" w:rsidR="00000000" w:rsidRPr="00000000">
        <w:rPr>
          <w:rtl w:val="0"/>
        </w:rPr>
        <w:t xml:space="preserve">. The methods and approaches have different footprints </w:t>
      </w:r>
      <w:hyperlink r:id="rId110">
        <w:r w:rsidDel="00000000" w:rsidR="00000000" w:rsidRPr="00000000">
          <w:rPr>
            <w:b w:val="0"/>
            <w:bCs w:val="0"/>
            <w:color w:val="000000"/>
            <w:u w:val="none"/>
            <w:rtl w:val="0"/>
          </w:rPr>
          <w:t xml:space="preserve">(Zhao et al., 2019)</w:t>
        </w:r>
      </w:hyperlink>
      <w:r w:rsidDel="00000000" w:rsidR="00000000" w:rsidRPr="00000000">
        <w:rPr>
          <w:rtl w:val="0"/>
        </w:rPr>
        <w:t xml:space="preserve">, underscoring the importance of canopy homogeneity. </w:t>
      </w:r>
      <w:r w:rsidDel="00000000" w:rsidR="00000000" w:rsidRPr="00000000">
        <w:rPr>
          <w:highlight w:val="white"/>
          <w:rtl w:val="0"/>
        </w:rPr>
        <w:t xml:space="preserve">The heterogeneity of the surface affects EC differently than the GF approaches</w:t>
      </w:r>
      <w:r w:rsidDel="00000000" w:rsidR="00000000" w:rsidRPr="00000000">
        <w:rPr>
          <w:rtl w:val="0"/>
        </w:rPr>
        <w:t xml:space="preserve"> </w:t>
      </w:r>
      <w:hyperlink r:id="rId111">
        <w:r w:rsidDel="00000000" w:rsidR="00000000" w:rsidRPr="00000000">
          <w:rPr>
            <w:b w:val="0"/>
            <w:bCs w:val="0"/>
            <w:color w:val="000000"/>
            <w:u w:val="none"/>
            <w:rtl w:val="0"/>
          </w:rPr>
          <w:t xml:space="preserve">(Kenion et al., 2024)</w:t>
        </w:r>
      </w:hyperlink>
      <w:r w:rsidDel="00000000" w:rsidR="00000000" w:rsidRPr="00000000">
        <w:rPr>
          <w:highlight w:val="white"/>
          <w:rtl w:val="0"/>
        </w:rPr>
        <w:t xml:space="preserve">. Changes in measurements with time resulting from spatial differences in fluxes may directly impact the variance, but possibly not the vertical gradient, because the changes with time may effect the mole fraction measurements at both vertical levels used to calculate the gradient, which depend on the difference between the two levels</w:t>
      </w:r>
      <w:r w:rsidDel="00000000" w:rsidR="00000000" w:rsidRPr="00000000">
        <w:rPr>
          <w:rtl w:val="0"/>
        </w:rPr>
        <w:t xml:space="preserve"> </w:t>
      </w:r>
      <w:hyperlink r:id="rId112">
        <w:r w:rsidDel="00000000" w:rsidR="00000000" w:rsidRPr="00000000">
          <w:rPr>
            <w:b w:val="0"/>
            <w:bCs w:val="0"/>
            <w:color w:val="000000"/>
            <w:u w:val="none"/>
            <w:rtl w:val="0"/>
          </w:rPr>
          <w:t xml:space="preserve">(Kenion et al., 2024)</w:t>
        </w:r>
      </w:hyperlink>
      <w:r w:rsidDel="00000000" w:rsidR="00000000" w:rsidRPr="00000000">
        <w:rPr>
          <w:highlight w:val="white"/>
          <w:rtl w:val="0"/>
        </w:rPr>
        <w:t xml:space="preserve">. The impacts of heterogeneity could be more substantial during the day, given the greater source heterogeneity driven by primary productivity, which is absent at night </w:t>
      </w:r>
      <w:hyperlink r:id="rId113">
        <w:r w:rsidDel="00000000" w:rsidR="00000000" w:rsidRPr="00000000">
          <w:rPr>
            <w:b w:val="0"/>
            <w:bCs w:val="0"/>
            <w:color w:val="000000"/>
            <w:highlight w:val="white"/>
            <w:u w:val="none"/>
            <w:rtl w:val="0"/>
          </w:rPr>
          <w:t xml:space="preserve">(Kenion et al., 2024)</w:t>
        </w:r>
      </w:hyperlink>
      <w:r w:rsidDel="00000000" w:rsidR="00000000" w:rsidRPr="00000000">
        <w:rPr>
          <w:highlight w:val="white"/>
          <w:rtl w:val="0"/>
        </w:rPr>
        <w:t xml:space="preserve">. </w:t>
      </w:r>
      <w:r w:rsidDel="00000000" w:rsidR="00000000" w:rsidRPr="00000000">
        <w:rPr>
          <w:rtl w:val="0"/>
        </w:rPr>
        <w:t xml:space="preserve">Specifically, the MBR approach is not appropriate for ecosystems where the source and sink distributions of the target gas and the tracer are highly heterogeneous </w:t>
      </w:r>
      <w:hyperlink r:id="rId114">
        <w:r w:rsidDel="00000000" w:rsidR="00000000" w:rsidRPr="00000000">
          <w:rPr>
            <w:b w:val="0"/>
            <w:bCs w:val="0"/>
            <w:color w:val="000000"/>
            <w:u w:val="none"/>
            <w:rtl w:val="0"/>
          </w:rPr>
          <w:t xml:space="preserve">(Zhao et al., 2019)</w:t>
        </w:r>
      </w:hyperlink>
      <w:r w:rsidDel="00000000" w:rsidR="00000000" w:rsidRPr="00000000">
        <w:rPr>
          <w:rtl w:val="0"/>
        </w:rPr>
        <w:t xml:space="preserve">. </w:t>
      </w:r>
      <w:r w:rsidDel="00000000" w:rsidR="00000000" w:rsidRPr="00000000">
        <w:rPr>
          <w:highlight w:val="white"/>
          <w:rtl w:val="0"/>
        </w:rPr>
        <w:t xml:space="preserve"> </w:t>
      </w:r>
      <w:r w:rsidDel="00000000" w:rsidR="00000000" w:rsidRPr="00000000">
        <w:rPr>
          <w:rtl w:val="0"/>
        </w:rPr>
        <w:t xml:space="preserve">In an experiment on CH</w:t>
      </w:r>
      <w:r w:rsidDel="00000000" w:rsidR="00000000" w:rsidRPr="00000000">
        <w:rPr>
          <w:vertAlign w:val="subscript"/>
          <w:rtl w:val="0"/>
        </w:rPr>
        <w:t xml:space="preserve">4</w:t>
      </w:r>
      <w:r w:rsidDel="00000000" w:rsidR="00000000" w:rsidRPr="00000000">
        <w:rPr>
          <w:rtl w:val="0"/>
        </w:rPr>
        <w:t xml:space="preserve"> flux in a rice paddy, Simpson et al. (1995) reported excellent agreement between the MBR and the AE method, with similar source distributions in both the vertical and horizontal directions for rice paddies </w:t>
      </w:r>
      <w:hyperlink r:id="rId115">
        <w:r w:rsidDel="00000000" w:rsidR="00000000" w:rsidRPr="00000000">
          <w:rPr>
            <w:b w:val="0"/>
            <w:bCs w:val="0"/>
            <w:color w:val="000000"/>
            <w:u w:val="none"/>
            <w:rtl w:val="0"/>
          </w:rPr>
          <w:t xml:space="preserve">(Simpson et al., 1995)</w:t>
        </w:r>
      </w:hyperlink>
      <w:r w:rsidDel="00000000" w:rsidR="00000000" w:rsidRPr="00000000">
        <w:rPr>
          <w:rtl w:val="0"/>
        </w:rPr>
        <w:t xml:space="preserve">. Yet, over a small lake, Zhao et al. (2019) found a lack of agreement between the MBR and the EC trace gas fluxes due to differences in horizontal source distributions between the tracer scalar (H</w:t>
      </w:r>
      <w:r w:rsidDel="00000000" w:rsidR="00000000" w:rsidRPr="00000000">
        <w:rPr>
          <w:vertAlign w:val="subscript"/>
          <w:rtl w:val="0"/>
        </w:rPr>
        <w:t xml:space="preserve">2</w:t>
      </w:r>
      <w:r w:rsidDel="00000000" w:rsidR="00000000" w:rsidRPr="00000000">
        <w:rPr>
          <w:rtl w:val="0"/>
        </w:rPr>
        <w:t xml:space="preserve">O) and the target gases (CH</w:t>
      </w:r>
      <w:r w:rsidDel="00000000" w:rsidR="00000000" w:rsidRPr="00000000">
        <w:rPr>
          <w:vertAlign w:val="subscript"/>
          <w:rtl w:val="0"/>
        </w:rPr>
        <w:t xml:space="preserve">4</w:t>
      </w:r>
      <w:r w:rsidDel="00000000" w:rsidR="00000000" w:rsidRPr="00000000">
        <w:rPr>
          <w:rtl w:val="0"/>
        </w:rPr>
        <w:t xml:space="preserve"> and CO</w:t>
      </w:r>
      <w:r w:rsidDel="00000000" w:rsidR="00000000" w:rsidRPr="00000000">
        <w:rPr>
          <w:vertAlign w:val="subscript"/>
          <w:rtl w:val="0"/>
        </w:rPr>
        <w:t xml:space="preserve">2</w:t>
      </w:r>
      <w:r w:rsidDel="00000000" w:rsidR="00000000" w:rsidRPr="00000000">
        <w:rPr>
          <w:rtl w:val="0"/>
        </w:rPr>
        <w:t xml:space="preserve">) </w:t>
      </w:r>
      <w:hyperlink r:id="rId116">
        <w:r w:rsidDel="00000000" w:rsidR="00000000" w:rsidRPr="00000000">
          <w:rPr>
            <w:b w:val="0"/>
            <w:bCs w:val="0"/>
            <w:color w:val="000000"/>
            <w:u w:val="none"/>
            <w:rtl w:val="0"/>
          </w:rPr>
          <w:t xml:space="preserve">(Zhao et al., 2019)</w:t>
        </w:r>
      </w:hyperlink>
      <w:r w:rsidDel="00000000" w:rsidR="00000000" w:rsidRPr="00000000">
        <w:rPr>
          <w:rtl w:val="0"/>
        </w:rPr>
        <w:t xml:space="preserve">. </w:t>
      </w:r>
      <w:r w:rsidDel="00000000" w:rsidR="00000000" w:rsidRPr="00000000">
        <w:rPr>
          <w:rtl w:val="0"/>
        </w:rPr>
        <w:t xml:space="preserve">In an MBR versus EC comparative study over a forest, Meredith et al. (2014) found that the eddy diffusivity for H</w:t>
      </w:r>
      <w:r w:rsidDel="00000000" w:rsidR="00000000" w:rsidRPr="00000000">
        <w:rPr>
          <w:vertAlign w:val="subscript"/>
          <w:rtl w:val="0"/>
        </w:rPr>
        <w:t xml:space="preserve">2</w:t>
      </w:r>
      <w:r w:rsidDel="00000000" w:rsidR="00000000" w:rsidRPr="00000000">
        <w:rPr>
          <w:rtl w:val="0"/>
        </w:rPr>
        <w:t xml:space="preserve">O was 32% lower than the eddy diffusivity for CO</w:t>
      </w:r>
      <w:r w:rsidDel="00000000" w:rsidR="00000000" w:rsidRPr="00000000">
        <w:rPr>
          <w:vertAlign w:val="subscript"/>
          <w:rtl w:val="0"/>
        </w:rPr>
        <w:t xml:space="preserve">2</w:t>
      </w:r>
      <w:r w:rsidDel="00000000" w:rsidR="00000000" w:rsidRPr="00000000">
        <w:rPr>
          <w:rtl w:val="0"/>
        </w:rPr>
        <w:t xml:space="preserve">, violating the basic assumption of the MBR method </w:t>
      </w:r>
      <w:hyperlink r:id="rId117">
        <w:r w:rsidDel="00000000" w:rsidR="00000000" w:rsidRPr="00000000">
          <w:rPr>
            <w:b w:val="0"/>
            <w:bCs w:val="0"/>
            <w:color w:val="000000"/>
            <w:u w:val="none"/>
            <w:rtl w:val="0"/>
          </w:rPr>
          <w:t xml:space="preserve">(Meredith et al., 2014)</w:t>
        </w:r>
      </w:hyperlink>
      <w:r w:rsidDel="00000000" w:rsidR="00000000" w:rsidRPr="00000000">
        <w:rPr>
          <w:rtl w:val="0"/>
        </w:rPr>
        <w:t xml:space="preserve">. </w:t>
      </w:r>
      <w:r w:rsidDel="00000000" w:rsidR="00000000" w:rsidRPr="00000000">
        <w:rPr>
          <w:rtl w:val="0"/>
        </w:rPr>
        <w:t xml:space="preserve">This discrepancy arose from differences in the vertical distributions of sources and sinks between CO</w:t>
      </w:r>
      <w:r w:rsidDel="00000000" w:rsidR="00000000" w:rsidRPr="00000000">
        <w:rPr>
          <w:vertAlign w:val="subscript"/>
          <w:rtl w:val="0"/>
        </w:rPr>
        <w:t xml:space="preserve">2</w:t>
      </w:r>
      <w:r w:rsidDel="00000000" w:rsidR="00000000" w:rsidRPr="00000000">
        <w:rPr>
          <w:rtl w:val="0"/>
        </w:rPr>
        <w:t xml:space="preserve"> and H</w:t>
      </w:r>
      <w:r w:rsidDel="00000000" w:rsidR="00000000" w:rsidRPr="00000000">
        <w:rPr>
          <w:vertAlign w:val="subscript"/>
          <w:rtl w:val="0"/>
        </w:rPr>
        <w:t xml:space="preserve">2</w:t>
      </w:r>
      <w:r w:rsidDel="00000000" w:rsidR="00000000" w:rsidRPr="00000000">
        <w:rPr>
          <w:rtl w:val="0"/>
        </w:rPr>
        <w:t xml:space="preserve">O. In addition to canopy sources and sinks, CO</w:t>
      </w:r>
      <w:r w:rsidDel="00000000" w:rsidR="00000000" w:rsidRPr="00000000">
        <w:rPr>
          <w:vertAlign w:val="subscript"/>
          <w:rtl w:val="0"/>
        </w:rPr>
        <w:t xml:space="preserve">2</w:t>
      </w:r>
      <w:r w:rsidDel="00000000" w:rsidR="00000000" w:rsidRPr="00000000">
        <w:rPr>
          <w:rtl w:val="0"/>
        </w:rPr>
        <w:t xml:space="preserve"> had a stronger soil source than H</w:t>
      </w:r>
      <w:r w:rsidDel="00000000" w:rsidR="00000000" w:rsidRPr="00000000">
        <w:rPr>
          <w:vertAlign w:val="subscript"/>
          <w:rtl w:val="0"/>
        </w:rPr>
        <w:t xml:space="preserve">2</w:t>
      </w:r>
      <w:r w:rsidDel="00000000" w:rsidR="00000000" w:rsidRPr="00000000">
        <w:rPr>
          <w:rtl w:val="0"/>
        </w:rPr>
        <w:t xml:space="preserve">O </w:t>
      </w:r>
      <w:hyperlink r:id="rId118">
        <w:r w:rsidDel="00000000" w:rsidR="00000000" w:rsidRPr="00000000">
          <w:rPr>
            <w:b w:val="0"/>
            <w:bCs w:val="0"/>
            <w:color w:val="000000"/>
            <w:u w:val="none"/>
            <w:rtl w:val="0"/>
          </w:rPr>
          <w:t xml:space="preserve">(Meredith et al., 2014)</w:t>
        </w:r>
      </w:hyperlink>
      <w:r w:rsidDel="00000000" w:rsidR="00000000" w:rsidRPr="00000000">
        <w:rPr>
          <w:rtl w:val="0"/>
        </w:rPr>
        <w:t xml:space="preserve">. </w:t>
      </w:r>
      <w:r w:rsidDel="00000000" w:rsidR="00000000" w:rsidRPr="00000000">
        <w:rPr>
          <w:rtl w:val="0"/>
        </w:rPr>
        <w:t xml:space="preserve">Our results show that under the right conditions, GF-measured AW can show strong concordance with the EC method at the top of the tower (Figures 3C-F, Figures 4C, and Figures 10D-F), and that identifying and filtering sampling height pairs that do not produce reliable ecosystem GFs is possible with (Figure 4) and without EC (Appendix B).</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left="0" w:firstLine="0"/>
        <w:rPr>
          <w:i w:val="1"/>
          <w:iCs w:val="1"/>
        </w:rPr>
      </w:pPr>
      <w:r w:rsidDel="00000000" w:rsidR="00000000" w:rsidRPr="00000000">
        <w:rPr>
          <w:i w:val="1"/>
          <w:iCs w:val="1"/>
          <w:rtl w:val="0"/>
        </w:rPr>
        <w:t xml:space="preserve">4.3. Does the GF method provide a reliable ecological assessment?</w:t>
      </w:r>
    </w:p>
    <w:p w:rsidR="00000000" w:rsidDel="00000000" w:rsidP="00000000" w:rsidRDefault="00000000" w:rsidRPr="00000000" w14:paraId="00000141">
      <w:pPr>
        <w:ind w:left="0" w:firstLine="0"/>
        <w:rPr>
          <w:i w:val="1"/>
          <w:iCs w:val="1"/>
        </w:rPr>
      </w:pPr>
      <w:r w:rsidDel="00000000" w:rsidR="00000000" w:rsidRPr="00000000">
        <w:rPr>
          <w:rtl w:val="0"/>
        </w:rPr>
      </w:r>
    </w:p>
    <w:p w:rsidR="00000000" w:rsidDel="00000000" w:rsidP="00000000" w:rsidRDefault="00000000" w:rsidRPr="00000000" w14:paraId="00000142">
      <w:pPr>
        <w:ind w:left="0" w:firstLine="720"/>
        <w:rPr>
          <w:highlight w:val="white"/>
        </w:rPr>
      </w:pPr>
      <w:r w:rsidDel="00000000" w:rsidR="00000000" w:rsidRPr="00000000">
        <w:rPr>
          <w:rtl w:val="0"/>
        </w:rPr>
        <w:t xml:space="preserve">While the GF method yielded reliable ecosystem fluxes across different ecosystems and seasons, significant data loss due to filtering and the extraction of reliable sampling height pairs for these approaches can limit its utility. As the GF approaches produce reliable ecosystem fluxes under variable conditions, integrating data from all approaches and using reliable sampling height pairs enhances ecosystem assessments. This is the first study to show that ensemble</w:t>
      </w:r>
      <w:r w:rsidDel="00000000" w:rsidR="00000000" w:rsidRPr="00000000">
        <w:rPr>
          <w:rtl w:val="0"/>
        </w:rPr>
        <w:t xml:space="preserve"> GFs could be used to understand patterns in ecosystem fluxes across seasons. Strong alignment between the EC and </w:t>
      </w:r>
      <w:r w:rsidDel="00000000" w:rsidR="00000000" w:rsidRPr="00000000">
        <w:rPr>
          <w:rtl w:val="0"/>
        </w:rPr>
        <w:t xml:space="preserve">ensemble</w:t>
      </w:r>
      <w:r w:rsidDel="00000000" w:rsidR="00000000" w:rsidRPr="00000000">
        <w:rPr>
          <w:rtl w:val="0"/>
        </w:rPr>
        <w:t xml:space="preserve"> GF diel curves suggests that this approach can be used to understand patterns in productivity, respiration, and transpiration. </w:t>
      </w:r>
      <w:r w:rsidDel="00000000" w:rsidR="00000000" w:rsidRPr="00000000">
        <w:rPr>
          <w:highlight w:val="white"/>
          <w:rtl w:val="0"/>
        </w:rPr>
        <w:t xml:space="preserve">While the GF method is unlikely to provide the same temporal resolution of ecosystem dynamics as the EC method, the GF approach can yield sufficient data to understand diel patterns and the temperature- and moisture-sensitivity of ecosystem fluxes. The key to using the GF method is knowing when and where fluxes are representative of the scale of interest. The evaluation of canopy attributes and the comparison of GF concordance between sampling height pairs can be done to identify appropriate ecosystem-scale fluxes.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spacing w:after="200" w:before="0" w:lineRule="auto"/>
        <w:ind w:firstLine="0"/>
        <w:rPr/>
      </w:pPr>
      <w:bookmarkStart w:colFirst="0" w:colLast="0" w:name="_8vfidxxieht6" w:id="16"/>
      <w:bookmarkEnd w:id="16"/>
      <w:r w:rsidDel="00000000" w:rsidR="00000000" w:rsidRPr="00000000">
        <w:rPr>
          <w:rtl w:val="0"/>
        </w:rPr>
        <w:t xml:space="preserve">4.</w:t>
      </w:r>
      <w:r w:rsidDel="00000000" w:rsidR="00000000" w:rsidRPr="00000000">
        <w:rPr>
          <w:rtl w:val="0"/>
        </w:rPr>
        <w:t xml:space="preserve">4. </w:t>
      </w:r>
      <w:r w:rsidDel="00000000" w:rsidR="00000000" w:rsidRPr="00000000">
        <w:rPr>
          <w:rtl w:val="0"/>
        </w:rPr>
        <w:t xml:space="preserve">Recommendations for Improving GF Fluxes </w:t>
      </w:r>
      <w:r w:rsidDel="00000000" w:rsidR="00000000" w:rsidRPr="00000000">
        <w:rPr>
          <w:rtl w:val="0"/>
        </w:rPr>
      </w:r>
    </w:p>
    <w:p w:rsidR="00000000" w:rsidDel="00000000" w:rsidP="00000000" w:rsidRDefault="00000000" w:rsidRPr="00000000" w14:paraId="00000145">
      <w:pPr>
        <w:spacing w:after="0" w:before="0" w:lineRule="auto"/>
        <w:ind w:firstLine="720"/>
        <w:rPr/>
      </w:pPr>
      <w:r w:rsidDel="00000000" w:rsidR="00000000" w:rsidRPr="00000000">
        <w:rPr>
          <w:rtl w:val="0"/>
        </w:rPr>
        <w:t xml:space="preserve">The GF approach can provide ecosystem-scale fluxes, though their utility is limited by the precision of analyzers and underlying assumptions </w:t>
      </w:r>
      <w:hyperlink r:id="rId119">
        <w:r w:rsidDel="00000000" w:rsidR="00000000" w:rsidRPr="00000000">
          <w:rPr>
            <w:b w:val="0"/>
            <w:bCs w:val="0"/>
            <w:color w:val="000000"/>
            <w:u w:val="none"/>
            <w:rtl w:val="0"/>
          </w:rPr>
          <w:t xml:space="preserve">(Maier and Schack-Kirchner, 2014)</w:t>
        </w:r>
      </w:hyperlink>
      <w:r w:rsidDel="00000000" w:rsidR="00000000" w:rsidRPr="00000000">
        <w:rPr>
          <w:rtl w:val="0"/>
        </w:rPr>
        <w:t xml:space="preserve"> that are biased toward large gradients. In ecosystems with small fluxes or during periods when fluxes are expected to be small, the GF method is not optimal </w:t>
      </w:r>
      <w:hyperlink r:id="rId120">
        <w:r w:rsidDel="00000000" w:rsidR="00000000" w:rsidRPr="00000000">
          <w:rPr>
            <w:b w:val="0"/>
            <w:bCs w:val="0"/>
            <w:color w:val="000000"/>
            <w:u w:val="none"/>
            <w:rtl w:val="0"/>
          </w:rPr>
          <w:t xml:space="preserve">(Laubach et al., 2016; Wu et al., 2015; Zhao et al., 2019)</w:t>
        </w:r>
      </w:hyperlink>
      <w:r w:rsidDel="00000000" w:rsidR="00000000" w:rsidRPr="00000000">
        <w:rPr>
          <w:rtl w:val="0"/>
        </w:rPr>
        <w:t xml:space="preserve">. Without approaches to determine near-zero fluxes, the GF method is biased towards periods and ecosystems with non-zero fluxes. Even with the limitations of this approach, the</w:t>
      </w:r>
      <w:r w:rsidDel="00000000" w:rsidR="00000000" w:rsidRPr="00000000">
        <w:rPr>
          <w:rtl w:val="0"/>
        </w:rPr>
        <w:t xml:space="preserve"> GF method is still beneficial when instrumentation is limited, when footprints are small </w:t>
      </w:r>
      <w:hyperlink r:id="rId121">
        <w:r w:rsidDel="00000000" w:rsidR="00000000" w:rsidRPr="00000000">
          <w:rPr>
            <w:b w:val="0"/>
            <w:bCs w:val="0"/>
            <w:color w:val="000000"/>
            <w:u w:val="none"/>
            <w:rtl w:val="0"/>
          </w:rPr>
          <w:t xml:space="preserve">(Zhao et al., 2019)</w:t>
        </w:r>
      </w:hyperlink>
      <w:r w:rsidDel="00000000" w:rsidR="00000000" w:rsidRPr="00000000">
        <w:rPr>
          <w:rtl w:val="0"/>
        </w:rPr>
        <w:t xml:space="preserve">, and </w:t>
      </w:r>
      <w:r w:rsidDel="00000000" w:rsidR="00000000" w:rsidRPr="00000000">
        <w:rPr>
          <w:rtl w:val="0"/>
        </w:rPr>
        <w:t xml:space="preserve">when there is interest in decomposing ecosystem fluxes by source contribution (i.e., soil and canopy fluxes).</w:t>
      </w:r>
      <w:r w:rsidDel="00000000" w:rsidR="00000000" w:rsidRPr="00000000">
        <w:rPr>
          <w:rtl w:val="0"/>
        </w:rPr>
        <w:t xml:space="preserve"> To increase the data obtained from the GF method, sampling strategies at NEON towers and beyond can be optimized. Ideally, measurements between the two heights would alternate quickly between sampling points to guarantee the gradient is calculated within similar timeframes, to remove low-frequency noise, and to remove errors due to low-frequency drifts in the analyzer </w:t>
      </w:r>
      <w:hyperlink r:id="rId122">
        <w:r w:rsidDel="00000000" w:rsidR="00000000" w:rsidRPr="00000000">
          <w:rPr>
            <w:b w:val="0"/>
            <w:bCs w:val="0"/>
            <w:color w:val="000000"/>
            <w:u w:val="none"/>
            <w:rtl w:val="0"/>
          </w:rPr>
          <w:t xml:space="preserve">(Wagner-Riddle et al., 2005)</w:t>
        </w:r>
      </w:hyperlink>
      <w:r w:rsidDel="00000000" w:rsidR="00000000" w:rsidRPr="00000000">
        <w:rPr>
          <w:rtl w:val="0"/>
        </w:rPr>
        <w:t xml:space="preserve">. Switching times for the gradient method can be as fast as 4 seconds </w:t>
      </w:r>
      <w:hyperlink r:id="rId123">
        <w:r w:rsidDel="00000000" w:rsidR="00000000" w:rsidRPr="00000000">
          <w:rPr>
            <w:b w:val="0"/>
            <w:bCs w:val="0"/>
            <w:color w:val="000000"/>
            <w:u w:val="none"/>
            <w:rtl w:val="0"/>
          </w:rPr>
          <w:t xml:space="preserve">(Wagner-Riddle et al., 1996)</w:t>
        </w:r>
      </w:hyperlink>
      <w:r w:rsidDel="00000000" w:rsidR="00000000" w:rsidRPr="00000000">
        <w:rPr>
          <w:rtl w:val="0"/>
        </w:rPr>
        <w:t xml:space="preserve">,</w:t>
      </w:r>
      <w:r w:rsidDel="00000000" w:rsidR="00000000" w:rsidRPr="00000000">
        <w:rPr>
          <w:rtl w:val="0"/>
        </w:rPr>
        <w:t xml:space="preserve"> 10 seconds </w:t>
      </w:r>
      <w:hyperlink r:id="rId124">
        <w:r w:rsidDel="00000000" w:rsidR="00000000" w:rsidRPr="00000000">
          <w:rPr>
            <w:b w:val="0"/>
            <w:bCs w:val="0"/>
            <w:color w:val="000000"/>
            <w:u w:val="none"/>
            <w:rtl w:val="0"/>
          </w:rPr>
          <w:t xml:space="preserve">(Edwards et al., 2003)</w:t>
        </w:r>
      </w:hyperlink>
      <w:r w:rsidDel="00000000" w:rsidR="00000000" w:rsidRPr="00000000">
        <w:rPr>
          <w:rtl w:val="0"/>
        </w:rPr>
        <w:t xml:space="preserve">, or 30 seconds when using lower power pumps </w:t>
      </w:r>
      <w:hyperlink r:id="rId125">
        <w:r w:rsidDel="00000000" w:rsidR="00000000" w:rsidRPr="00000000">
          <w:rPr>
            <w:b w:val="0"/>
            <w:bCs w:val="0"/>
            <w:color w:val="000000"/>
            <w:u w:val="none"/>
            <w:rtl w:val="0"/>
          </w:rPr>
          <w:t xml:space="preserve">(Brown et al., 2024)</w:t>
        </w:r>
      </w:hyperlink>
      <w:r w:rsidDel="00000000" w:rsidR="00000000" w:rsidRPr="00000000">
        <w:rPr>
          <w:rtl w:val="0"/>
        </w:rPr>
        <w:t xml:space="preserve">. However, this shorter sampling time decreases the precision of the sensor, leading to a tradeoff between the long time needed to achieve the desired precision and the short time needed to prevent major temporal changes in the concentration of the trace gas. The Picarro G2131-i achieves an acceptable precision after 30 seconds of 0.2 ppm for CO</w:t>
      </w:r>
      <w:r w:rsidDel="00000000" w:rsidR="00000000" w:rsidRPr="00000000">
        <w:rPr>
          <w:vertAlign w:val="subscript"/>
          <w:rtl w:val="0"/>
        </w:rPr>
        <w:t xml:space="preserve">2</w:t>
      </w:r>
      <w:r w:rsidDel="00000000" w:rsidR="00000000" w:rsidRPr="00000000">
        <w:rPr>
          <w:rtl w:val="0"/>
        </w:rPr>
        <w:t xml:space="preserve">, 0.1 ppt for H</w:t>
      </w:r>
      <w:r w:rsidDel="00000000" w:rsidR="00000000" w:rsidRPr="00000000">
        <w:rPr>
          <w:vertAlign w:val="subscript"/>
          <w:rtl w:val="0"/>
        </w:rPr>
        <w:t xml:space="preserve">2</w:t>
      </w:r>
      <w:r w:rsidDel="00000000" w:rsidR="00000000" w:rsidRPr="00000000">
        <w:rPr>
          <w:rtl w:val="0"/>
        </w:rPr>
        <w:t xml:space="preserve">O, and 50 ppb for CH</w:t>
      </w:r>
      <w:r w:rsidDel="00000000" w:rsidR="00000000" w:rsidRPr="00000000">
        <w:rPr>
          <w:vertAlign w:val="subscript"/>
          <w:rtl w:val="0"/>
        </w:rPr>
        <w:t xml:space="preserve">4</w:t>
      </w:r>
      <w:r w:rsidDel="00000000" w:rsidR="00000000" w:rsidRPr="00000000">
        <w:rPr>
          <w:rtl w:val="0"/>
        </w:rPr>
        <w:t xml:space="preserve">. Rather than sampling continuously at the same level for 6 minutes, alternating the measurements between two levels approximately every minute may produce more ecologically relevant information, particularly in the upper levels of the canopy, where the GF method can be applied. </w:t>
      </w:r>
    </w:p>
    <w:p w:rsidR="00000000" w:rsidDel="00000000" w:rsidP="00000000" w:rsidRDefault="00000000" w:rsidRPr="00000000" w14:paraId="00000146">
      <w:pPr>
        <w:rPr/>
      </w:pPr>
      <w:r w:rsidDel="00000000" w:rsidR="00000000" w:rsidRPr="00000000">
        <w:rPr>
          <w:sz w:val="21"/>
          <w:szCs w:val="21"/>
          <w:rtl w:val="0"/>
        </w:rPr>
        <w:t xml:space="preserve">Poor performance at different sampling heights was occasionally due to</w:t>
      </w:r>
      <w:r w:rsidDel="00000000" w:rsidR="00000000" w:rsidRPr="00000000">
        <w:rPr>
          <w:sz w:val="21"/>
          <w:szCs w:val="21"/>
          <w:rtl w:val="0"/>
        </w:rPr>
        <w:t xml:space="preserve"> opposite signs between GF and EC, a pattern we call "countergradient.” </w:t>
      </w:r>
      <w:r w:rsidDel="00000000" w:rsidR="00000000" w:rsidRPr="00000000">
        <w:rPr>
          <w:rtl w:val="0"/>
        </w:rPr>
        <w:t xml:space="preserve">Countergradient</w:t>
      </w:r>
      <w:r w:rsidDel="00000000" w:rsidR="00000000" w:rsidRPr="00000000">
        <w:rPr>
          <w:rtl w:val="0"/>
        </w:rPr>
        <w:t xml:space="preserve"> fluxes occur when the transport of a quantity is in the opposite direction to its mean gradient, contradicting the standard gradient-diffusion theory.</w:t>
      </w:r>
      <w:r w:rsidDel="00000000" w:rsidR="00000000" w:rsidRPr="00000000">
        <w:rPr>
          <w:rtl w:val="0"/>
        </w:rPr>
        <w:t xml:space="preserve"> </w:t>
      </w:r>
      <w:r w:rsidDel="00000000" w:rsidR="00000000" w:rsidRPr="00000000">
        <w:rPr>
          <w:rtl w:val="0"/>
        </w:rPr>
        <w:t xml:space="preserve">Counter-gradient fluxes are primarily important within the canopy. </w:t>
      </w:r>
      <w:r w:rsidDel="00000000" w:rsidR="00000000" w:rsidRPr="00000000">
        <w:rPr>
          <w:rtl w:val="0"/>
        </w:rPr>
        <w:t xml:space="preserve">Across NEON sites,</w:t>
      </w:r>
      <w:r w:rsidDel="00000000" w:rsidR="00000000" w:rsidRPr="00000000">
        <w:rPr>
          <w:rtl w:val="0"/>
        </w:rPr>
        <w:t xml:space="preserve"> counter-gradients were more frequent at taller-canopy sites </w:t>
      </w:r>
      <w:r w:rsidDel="00000000" w:rsidR="00000000" w:rsidRPr="00000000">
        <w:rPr>
          <w:rtl w:val="0"/>
        </w:rPr>
        <w:t xml:space="preserve">and influenced which sampling height pairs were reliable</w:t>
      </w:r>
      <w:r w:rsidDel="00000000" w:rsidR="00000000" w:rsidRPr="00000000">
        <w:rPr>
          <w:rtl w:val="0"/>
        </w:rPr>
        <w:t xml:space="preserve">. </w:t>
      </w:r>
      <w:r w:rsidDel="00000000" w:rsidR="00000000" w:rsidRPr="00000000">
        <w:rPr>
          <w:rtl w:val="0"/>
        </w:rPr>
        <w:t xml:space="preserve">When counter-gradient fluxes were observed within the surface layer, this might indicate an issue with the measurement approach rather than a physical phenomenon itself. For example, when switching flow lines, the use of buffer volumes can improve temporal representativeness, and insufficient buffering could potentially lead to such artifacts.</w:t>
      </w:r>
      <w:r w:rsidDel="00000000" w:rsidR="00000000" w:rsidRPr="00000000">
        <w:rPr>
          <w:sz w:val="20"/>
          <w:szCs w:val="20"/>
          <w:rtl w:val="0"/>
        </w:rPr>
        <w:t xml:space="preserve"> </w:t>
      </w:r>
      <w:r w:rsidDel="00000000" w:rsidR="00000000" w:rsidRPr="00000000">
        <w:rPr>
          <w:sz w:val="20"/>
          <w:szCs w:val="20"/>
          <w:rtl w:val="0"/>
        </w:rPr>
        <w:t xml:space="preserve">Lo</w:t>
      </w:r>
      <w:r w:rsidDel="00000000" w:rsidR="00000000" w:rsidRPr="00000000">
        <w:rPr>
          <w:sz w:val="21"/>
          <w:szCs w:val="21"/>
          <w:rtl w:val="0"/>
        </w:rPr>
        <w:t xml:space="preserve">ng delays between sampling levels also increase sensitivity to non-stationarity that can lead to countergradients. </w:t>
      </w:r>
      <w:r w:rsidDel="00000000" w:rsidR="00000000" w:rsidRPr="00000000">
        <w:rPr>
          <w:rtl w:val="0"/>
        </w:rPr>
        <w:t xml:space="preserve">While filtering out counter-gradients lead to significant data loss, with the remaining data it is still possible to use canopy measurements to produce reliable ecosystem GFs, as found in other studies </w:t>
      </w:r>
      <w:hyperlink r:id="rId126">
        <w:r w:rsidDel="00000000" w:rsidR="00000000" w:rsidRPr="00000000">
          <w:rPr>
            <w:b w:val="0"/>
            <w:bCs w:val="0"/>
            <w:color w:val="000000"/>
            <w:u w:val="none"/>
            <w:rtl w:val="0"/>
          </w:rPr>
          <w:t xml:space="preserve">(Meredith et al., 2014; Wu et al., 2015)</w:t>
        </w:r>
      </w:hyperlink>
      <w:r w:rsidDel="00000000" w:rsidR="00000000" w:rsidRPr="00000000">
        <w:rPr>
          <w:rtl w:val="0"/>
        </w:rPr>
        <w:t xml:space="preserve">. In addition to countergradient flows, gradient strength was also an important contributor to our ability to use the GF method.</w:t>
      </w:r>
      <w:r w:rsidDel="00000000" w:rsidR="00000000" w:rsidRPr="00000000">
        <w:rPr>
          <w:highlight w:val="white"/>
          <w:rtl w:val="0"/>
        </w:rPr>
        <w:t xml:space="preserve"> </w:t>
      </w:r>
      <w:r w:rsidDel="00000000" w:rsidR="00000000" w:rsidRPr="00000000">
        <w:rPr>
          <w:rtl w:val="0"/>
        </w:rPr>
        <w:t xml:space="preserve">Within ecosystems, gradient strength can be optimized by increasing the distance between sampling height pairs </w:t>
      </w:r>
      <w:hyperlink r:id="rId127">
        <w:r w:rsidDel="00000000" w:rsidR="00000000" w:rsidRPr="00000000">
          <w:rPr>
            <w:b w:val="0"/>
            <w:bCs w:val="0"/>
            <w:color w:val="000000"/>
            <w:u w:val="none"/>
            <w:rtl w:val="0"/>
          </w:rPr>
          <w:t xml:space="preserve">(Cellier and Brunet, 1992; Meredith et al., 2014)</w:t>
        </w:r>
      </w:hyperlink>
      <w:r w:rsidDel="00000000" w:rsidR="00000000" w:rsidRPr="00000000">
        <w:rPr>
          <w:rtl w:val="0"/>
        </w:rPr>
        <w:t xml:space="preserve">. Though balancing the distance between pairs with canopy interference is a challenge in ecosystems with a tall canopy </w:t>
      </w:r>
      <w:hyperlink r:id="rId128">
        <w:r w:rsidDel="00000000" w:rsidR="00000000" w:rsidRPr="00000000">
          <w:rPr>
            <w:b w:val="0"/>
            <w:bCs w:val="0"/>
            <w:color w:val="000000"/>
            <w:u w:val="none"/>
            <w:rtl w:val="0"/>
          </w:rPr>
          <w:t xml:space="preserve">(Cellier and Brunet, 1992; Meredith et al., 2014)</w:t>
        </w:r>
      </w:hyperlink>
      <w:r w:rsidDel="00000000" w:rsidR="00000000" w:rsidRPr="00000000">
        <w:rPr>
          <w:rtl w:val="0"/>
        </w:rPr>
        <w:t xml:space="preserve">. </w:t>
      </w:r>
    </w:p>
    <w:p w:rsidR="00000000" w:rsidDel="00000000" w:rsidP="00000000" w:rsidRDefault="00000000" w:rsidRPr="00000000" w14:paraId="00000147">
      <w:pPr>
        <w:spacing w:after="0" w:before="0" w:lineRule="auto"/>
        <w:ind w:firstLine="720"/>
        <w:rPr/>
      </w:pPr>
      <w:r w:rsidDel="00000000" w:rsidR="00000000" w:rsidRPr="00000000">
        <w:rPr>
          <w:rtl w:val="0"/>
        </w:rPr>
      </w:r>
    </w:p>
    <w:p w:rsidR="00000000" w:rsidDel="00000000" w:rsidP="00000000" w:rsidRDefault="00000000" w:rsidRPr="00000000" w14:paraId="00000148">
      <w:pPr>
        <w:pStyle w:val="Heading1"/>
        <w:numPr>
          <w:ilvl w:val="0"/>
          <w:numId w:val="1"/>
        </w:numPr>
        <w:ind w:left="450" w:hanging="360"/>
      </w:pPr>
      <w:bookmarkStart w:colFirst="0" w:colLast="0" w:name="_j8u8o0glc242" w:id="17"/>
      <w:bookmarkEnd w:id="17"/>
      <w:r w:rsidDel="00000000" w:rsidR="00000000" w:rsidRPr="00000000">
        <w:rPr>
          <w:rtl w:val="0"/>
        </w:rPr>
        <w:t xml:space="preserve">Conclusion</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49">
      <w:pPr>
        <w:ind w:left="0" w:firstLine="720"/>
        <w:rPr/>
      </w:pPr>
      <w:r w:rsidDel="00000000" w:rsidR="00000000" w:rsidRPr="00000000">
        <w:rPr>
          <w:rtl w:val="0"/>
        </w:rPr>
        <w:t xml:space="preserve">E</w:t>
      </w:r>
      <w:r w:rsidDel="00000000" w:rsidR="00000000" w:rsidRPr="00000000">
        <w:rPr>
          <w:rtl w:val="0"/>
        </w:rPr>
        <w:t xml:space="preserve">cosystem GFs were consistent with those obtained using the EC method across seasons, though at a much lower temporal resolution than can be provided with the EC method. </w:t>
      </w:r>
      <w:r w:rsidDel="00000000" w:rsidR="00000000" w:rsidRPr="00000000">
        <w:rPr>
          <w:rtl w:val="0"/>
        </w:rPr>
        <w:t xml:space="preserve">While the GF method has been shown to produce reliable fluxes across ecosystems </w:t>
      </w:r>
      <w:hyperlink r:id="rId129">
        <w:r w:rsidDel="00000000" w:rsidR="00000000" w:rsidRPr="00000000">
          <w:rPr>
            <w:b w:val="0"/>
            <w:bCs w:val="0"/>
            <w:color w:val="000000"/>
            <w:u w:val="none"/>
            <w:rtl w:val="0"/>
          </w:rPr>
          <w:t xml:space="preserve">(Meredith et al., 2014; Mölder et al., 1999; Raupach and Legg, 1984; Zhao et al., 2019)</w:t>
        </w:r>
      </w:hyperlink>
      <w:r w:rsidDel="00000000" w:rsidR="00000000" w:rsidRPr="00000000">
        <w:rPr>
          <w:rtl w:val="0"/>
        </w:rPr>
        <w:t xml:space="preserve">, the key was to identify which sampling height pairs that were representative of the ecosystem flux and to use multiple GF approaches to increase the temporal resolution of reliable data.</w:t>
      </w:r>
      <w:r w:rsidDel="00000000" w:rsidR="00000000" w:rsidRPr="00000000">
        <w:rPr>
          <w:rtl w:val="0"/>
        </w:rPr>
        <w:t xml:space="preserve"> With the GF method, it is valuable to have a system that can leverage multiple GF approaches, especially given the possibility that each technique may suffer significant data loss under specific conditions.</w:t>
      </w:r>
      <w:r w:rsidDel="00000000" w:rsidR="00000000" w:rsidRPr="00000000">
        <w:rPr>
          <w:rtl w:val="0"/>
        </w:rPr>
        <w:t xml:space="preserve"> Creating an ensemble of reliable ecosystem GFs effectively increased the temporal resolution of reliable data. The NEON tower network design enabled us to use independent flux measurements to determine when and where we can apply</w:t>
      </w:r>
      <w:r w:rsidDel="00000000" w:rsidR="00000000" w:rsidRPr="00000000">
        <w:rPr>
          <w:rtl w:val="0"/>
        </w:rPr>
        <w:t xml:space="preserve"> the GF method to measure ecosystem fluxes. The GF method was much more limited by </w:t>
      </w:r>
      <w:r w:rsidDel="00000000" w:rsidR="00000000" w:rsidRPr="00000000">
        <w:rPr>
          <w:i w:val="1"/>
          <w:iCs w:val="1"/>
          <w:rtl w:val="0"/>
        </w:rPr>
        <w:t xml:space="preserve">where </w:t>
      </w:r>
      <w:r w:rsidDel="00000000" w:rsidR="00000000" w:rsidRPr="00000000">
        <w:rPr>
          <w:rtl w:val="0"/>
        </w:rPr>
        <w:t xml:space="preserve">reliable fluxes could be measured than by </w:t>
      </w:r>
      <w:r w:rsidDel="00000000" w:rsidR="00000000" w:rsidRPr="00000000">
        <w:rPr>
          <w:i w:val="1"/>
          <w:iCs w:val="1"/>
          <w:rtl w:val="0"/>
        </w:rPr>
        <w:t xml:space="preserve">when </w:t>
      </w:r>
      <w:r w:rsidDel="00000000" w:rsidR="00000000" w:rsidRPr="00000000">
        <w:rPr>
          <w:rtl w:val="0"/>
        </w:rPr>
        <w:t xml:space="preserve">they could be measured. In ecosystems with low SNR in fluxes, the GF method with sequential sampling could not be used. At nearly all sites, we could use the GF method, though depending </w:t>
      </w:r>
      <w:r w:rsidDel="00000000" w:rsidR="00000000" w:rsidRPr="00000000">
        <w:rPr>
          <w:rtl w:val="0"/>
        </w:rPr>
        <w:t xml:space="preserve">on the</w:t>
      </w:r>
      <w:r w:rsidDel="00000000" w:rsidR="00000000" w:rsidRPr="00000000">
        <w:rPr>
          <w:rtl w:val="0"/>
        </w:rPr>
        <w:t xml:space="preserve"> ecosystem, GFs were not always available in all seasons. Ecosystems with tall canopies showed lower concordance, though ecological implications for those sites were sufficient and may benefit from canopy corrections, which would be a valuable focus of future research. </w:t>
      </w:r>
      <w:r w:rsidDel="00000000" w:rsidR="00000000" w:rsidRPr="00000000">
        <w:rPr>
          <w:rtl w:val="0"/>
        </w:rPr>
        <w:t xml:space="preserve">While the GF method may not produce sufficiently high temporal resolution data compared to the EC method, the GF would still yield enough data to understand seasonal and interannual patterns in ecosystem-level fluxes, supporting wider deployment of surface flux measurements across more locations and </w:t>
      </w:r>
      <w:r w:rsidDel="00000000" w:rsidR="00000000" w:rsidRPr="00000000">
        <w:rPr>
          <w:rtl w:val="0"/>
        </w:rPr>
        <w:t xml:space="preserve">for a broader range of trace gases that are not easily measured at turbulent resolving frequencies</w:t>
      </w:r>
      <w:r w:rsidDel="00000000" w:rsidR="00000000" w:rsidRPr="00000000">
        <w:rPr>
          <w:rtl w:val="0"/>
        </w:rPr>
        <w:t xml:space="preserve">. Future work should focus on canopy corrections for tall/complex forests and the development of standardized data products.</w:t>
      </w:r>
    </w:p>
    <w:p w:rsidR="00000000" w:rsidDel="00000000" w:rsidP="00000000" w:rsidRDefault="00000000" w:rsidRPr="00000000" w14:paraId="0000014A">
      <w:pPr>
        <w:spacing w:after="240" w:before="240" w:line="240" w:lineRule="auto"/>
        <w:ind w:left="0" w:firstLine="0"/>
        <w:rPr>
          <w:b w:val="1"/>
          <w:bCs w:val="1"/>
          <w:color w:val="464646"/>
          <w:highlight w:val="white"/>
        </w:rPr>
      </w:pPr>
      <w:r w:rsidDel="00000000" w:rsidR="00000000" w:rsidRPr="00000000">
        <w:rPr>
          <w:b w:val="1"/>
          <w:bCs w:val="1"/>
          <w:color w:val="464646"/>
          <w:highlight w:val="white"/>
          <w:rtl w:val="0"/>
        </w:rPr>
        <w:t xml:space="preserve">Data Availability: </w:t>
      </w:r>
    </w:p>
    <w:p w:rsidR="00000000" w:rsidDel="00000000" w:rsidP="00000000" w:rsidRDefault="00000000" w:rsidRPr="00000000" w14:paraId="0000014B">
      <w:pPr>
        <w:spacing w:after="240" w:before="240" w:line="240" w:lineRule="auto"/>
        <w:ind w:left="0" w:firstLine="0"/>
        <w:rPr>
          <w:color w:val="464646"/>
          <w:highlight w:val="white"/>
        </w:rPr>
      </w:pPr>
      <w:r w:rsidDel="00000000" w:rsidR="00000000" w:rsidRPr="00000000">
        <w:rPr>
          <w:color w:val="464646"/>
          <w:highlight w:val="white"/>
          <w:rtl w:val="0"/>
        </w:rPr>
        <w:t xml:space="preserve">We need to publish the data used to produce the plots on </w:t>
      </w:r>
      <w:commentRangeStart w:id="9"/>
      <w:r w:rsidDel="00000000" w:rsidR="00000000" w:rsidRPr="00000000">
        <w:rPr>
          <w:color w:val="464646"/>
          <w:highlight w:val="white"/>
          <w:rtl w:val="0"/>
        </w:rPr>
        <w:t xml:space="preserve">EDI</w:t>
      </w:r>
      <w:commentRangeEnd w:id="9"/>
      <w:r w:rsidDel="00000000" w:rsidR="00000000" w:rsidRPr="00000000">
        <w:commentReference w:id="9"/>
      </w:r>
      <w:r w:rsidDel="00000000" w:rsidR="00000000" w:rsidRPr="00000000">
        <w:rPr>
          <w:color w:val="464646"/>
          <w:highlight w:val="white"/>
          <w:rtl w:val="0"/>
        </w:rPr>
        <w:t xml:space="preserve">.</w:t>
      </w:r>
    </w:p>
    <w:p w:rsidR="00000000" w:rsidDel="00000000" w:rsidP="00000000" w:rsidRDefault="00000000" w:rsidRPr="00000000" w14:paraId="0000014C">
      <w:pPr>
        <w:spacing w:after="240" w:before="240" w:line="240" w:lineRule="auto"/>
        <w:ind w:left="0" w:firstLine="0"/>
        <w:rPr>
          <w:color w:val="464646"/>
          <w:highlight w:val="white"/>
        </w:rPr>
      </w:pPr>
      <w:r w:rsidDel="00000000" w:rsidR="00000000" w:rsidRPr="00000000">
        <w:rPr>
          <w:color w:val="464646"/>
          <w:highlight w:val="white"/>
          <w:rtl w:val="0"/>
        </w:rPr>
        <w:t xml:space="preserve">Design a netcdf with all sites and </w:t>
      </w:r>
      <w:r w:rsidDel="00000000" w:rsidR="00000000" w:rsidRPr="00000000">
        <w:rPr>
          <w:rtl w:val="0"/>
        </w:rPr>
        <w:t xml:space="preserve">ensemble</w:t>
      </w:r>
      <w:r w:rsidDel="00000000" w:rsidR="00000000" w:rsidRPr="00000000">
        <w:rPr>
          <w:color w:val="464646"/>
          <w:highlight w:val="white"/>
          <w:rtl w:val="0"/>
        </w:rPr>
        <w:t xml:space="preserve">GF data + storage flux +  DIELS, inclusive of the canopy information from AOP. Setup the file using FLUXNET formatting. </w:t>
      </w:r>
    </w:p>
    <w:p w:rsidR="00000000" w:rsidDel="00000000" w:rsidP="00000000" w:rsidRDefault="00000000" w:rsidRPr="00000000" w14:paraId="0000014D">
      <w:pPr>
        <w:shd w:fill="ffffff" w:val="clear"/>
        <w:spacing w:after="360" w:line="240" w:lineRule="auto"/>
        <w:ind w:left="0" w:firstLine="0"/>
        <w:rPr>
          <w:b w:val="1"/>
          <w:bCs w:val="1"/>
          <w:color w:val="464646"/>
        </w:rPr>
      </w:pPr>
      <w:r w:rsidDel="00000000" w:rsidR="00000000" w:rsidRPr="00000000">
        <w:rPr>
          <w:b w:val="1"/>
          <w:bCs w:val="1"/>
          <w:color w:val="464646"/>
          <w:rtl w:val="0"/>
        </w:rPr>
        <w:t xml:space="preserve">Code Availability: </w:t>
      </w:r>
    </w:p>
    <w:p w:rsidR="00000000" w:rsidDel="00000000" w:rsidP="00000000" w:rsidRDefault="00000000" w:rsidRPr="00000000" w14:paraId="0000014E">
      <w:pPr>
        <w:shd w:fill="ffffff" w:val="clear"/>
        <w:spacing w:after="360" w:line="240" w:lineRule="auto"/>
        <w:ind w:left="0" w:firstLine="0"/>
        <w:rPr>
          <w:b w:val="1"/>
          <w:bCs w:val="1"/>
          <w:color w:val="464646"/>
        </w:rPr>
      </w:pPr>
      <w:r w:rsidDel="00000000" w:rsidR="00000000" w:rsidRPr="00000000">
        <w:rPr>
          <w:b w:val="1"/>
          <w:bCs w:val="1"/>
          <w:color w:val="464646"/>
          <w:rtl w:val="0"/>
        </w:rPr>
        <w:t xml:space="preserve">Acknowledgements</w:t>
      </w:r>
    </w:p>
    <w:p w:rsidR="00000000" w:rsidDel="00000000" w:rsidP="00000000" w:rsidRDefault="00000000" w:rsidRPr="00000000" w14:paraId="0000014F">
      <w:pPr>
        <w:shd w:fill="ffffff" w:val="clear"/>
        <w:spacing w:after="360" w:line="240" w:lineRule="auto"/>
        <w:ind w:left="0" w:firstLine="0"/>
        <w:rPr>
          <w:b w:val="1"/>
          <w:bCs w:val="1"/>
        </w:rPr>
      </w:pPr>
      <w:r w:rsidDel="00000000" w:rsidR="00000000" w:rsidRPr="00000000">
        <w:rPr>
          <w:rFonts w:ascii="Times New Roman" w:cs="Times New Roman" w:eastAsia="Times New Roman" w:hAnsi="Times New Roman"/>
          <w:rtl w:val="0"/>
        </w:rPr>
        <w:t xml:space="preserve">This work was conducted as a part of The Flux Gradient Project Synthesis Group funded by the National Science Foundation under grant DEB#1929393, through the Long Term Ecological Research Network Office (LNO), National Center for Ecological Analysis and Synthesis (NCEAS), University of California, Santa Barbara. </w:t>
      </w:r>
      <w:r w:rsidDel="00000000" w:rsidR="00000000" w:rsidRPr="00000000">
        <w:rPr>
          <w:highlight w:val="white"/>
          <w:rtl w:val="0"/>
        </w:rPr>
        <w:t xml:space="preserve">The National Ecological Observatory Network is a program sponsored by the U.S. National Science Foundation and operated under cooperative agreement by Battelle. Data used in this research were obtained through NEON Research Support Services. </w:t>
      </w:r>
      <w:r w:rsidDel="00000000" w:rsidR="00000000" w:rsidRPr="00000000">
        <w:rPr>
          <w:highlight w:val="white"/>
          <w:rtl w:val="0"/>
        </w:rPr>
        <w:t xml:space="preserve">We also acknowledge the use of AmeriFlux data resources provided by the U.S. Department of Energy’s Office of Science. </w:t>
      </w:r>
      <w:r w:rsidDel="00000000" w:rsidR="00000000" w:rsidRPr="00000000">
        <w:rPr>
          <w:rFonts w:ascii="Times New Roman" w:cs="Times New Roman" w:eastAsia="Times New Roman" w:hAnsi="Times New Roman"/>
          <w:rtl w:val="0"/>
        </w:rPr>
        <w:t xml:space="preserve">Support for this work was also provided by the Yale Center for Natural Carbon Capture and the Yale School of the Environment. MU was supported by the Arctic Challenge for Sustainability III (ArCS III; JPMXD1720251001).</w:t>
      </w:r>
      <w:r w:rsidDel="00000000" w:rsidR="00000000" w:rsidRPr="00000000">
        <w:rPr>
          <w:rtl w:val="0"/>
        </w:rPr>
      </w:r>
    </w:p>
    <w:p w:rsidR="00000000" w:rsidDel="00000000" w:rsidP="00000000" w:rsidRDefault="00000000" w:rsidRPr="00000000" w14:paraId="00000150">
      <w:pPr>
        <w:pStyle w:val="Heading1"/>
        <w:spacing w:after="240" w:before="240" w:lineRule="auto"/>
        <w:ind w:left="-180" w:firstLine="0"/>
        <w:rPr/>
      </w:pPr>
      <w:bookmarkStart w:colFirst="0" w:colLast="0" w:name="_ndjzwdyu5agi" w:id="18"/>
      <w:bookmarkEnd w:id="18"/>
      <w:r w:rsidDel="00000000" w:rsidR="00000000" w:rsidRPr="00000000">
        <w:rPr>
          <w:rtl w:val="0"/>
        </w:rPr>
        <w:t xml:space="preserve"> References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0" w:right="0" w:firstLine="0"/>
        <w:jc w:val="left"/>
        <w:rPr>
          <w:b w:val="0"/>
          <w:bCs w:val="0"/>
          <w:i w:val="0"/>
          <w:iCs w:val="0"/>
          <w:color w:val="000000"/>
          <w:sz w:val="22"/>
          <w:szCs w:val="22"/>
        </w:rPr>
      </w:pPr>
      <w:hyperlink r:id="rId130">
        <w:r w:rsidDel="00000000" w:rsidR="00000000" w:rsidRPr="00000000">
          <w:rPr>
            <w:b w:val="0"/>
            <w:bCs w:val="0"/>
            <w:i w:val="0"/>
            <w:iCs w:val="0"/>
            <w:color w:val="000000"/>
            <w:sz w:val="22"/>
            <w:szCs w:val="22"/>
            <w:u w:val="none"/>
            <w:rtl w:val="0"/>
          </w:rPr>
          <w:t xml:space="preserve">Amiro, B. D.: Comparison of turbulence statistics within three boreal forest canopies, Boundary Layer Meteorol., 51, 99–121, https://doi.org/</w:t>
        </w:r>
      </w:hyperlink>
      <w:hyperlink r:id="rId131">
        <w:r w:rsidDel="00000000" w:rsidR="00000000" w:rsidRPr="00000000">
          <w:rPr>
            <w:b w:val="0"/>
            <w:bCs w:val="0"/>
            <w:i w:val="0"/>
            <w:iCs w:val="0"/>
            <w:color w:val="1155cc"/>
            <w:sz w:val="22"/>
            <w:szCs w:val="22"/>
            <w:u w:val="single"/>
            <w:rtl w:val="0"/>
          </w:rPr>
          <w:t xml:space="preserve">10.1007/bf00120463</w:t>
        </w:r>
      </w:hyperlink>
      <w:hyperlink r:id="rId132">
        <w:r w:rsidDel="00000000" w:rsidR="00000000" w:rsidRPr="00000000">
          <w:rPr>
            <w:b w:val="0"/>
            <w:bCs w:val="0"/>
            <w:i w:val="0"/>
            <w:iCs w:val="0"/>
            <w:color w:val="000000"/>
            <w:sz w:val="22"/>
            <w:szCs w:val="22"/>
            <w:u w:val="none"/>
            <w:rtl w:val="0"/>
          </w:rPr>
          <w:t xml:space="preserve">, 1990.</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33">
        <w:r w:rsidDel="00000000" w:rsidR="00000000" w:rsidRPr="00000000">
          <w:rPr>
            <w:b w:val="0"/>
            <w:bCs w:val="0"/>
            <w:i w:val="0"/>
            <w:iCs w:val="0"/>
            <w:color w:val="000000"/>
            <w:sz w:val="22"/>
            <w:szCs w:val="22"/>
            <w:u w:val="none"/>
            <w:rtl w:val="0"/>
          </w:rPr>
          <w:t xml:space="preserve">Baldocchi, D.: Measuring fluxes of trace gases and energy between ecosystems and the atmosphere - the state and future of the eddy covariance method, Glob. Chang. Biol., 20, 3600–3609, https://doi.org/</w:t>
        </w:r>
      </w:hyperlink>
      <w:hyperlink r:id="rId134">
        <w:r w:rsidDel="00000000" w:rsidR="00000000" w:rsidRPr="00000000">
          <w:rPr>
            <w:b w:val="0"/>
            <w:bCs w:val="0"/>
            <w:i w:val="0"/>
            <w:iCs w:val="0"/>
            <w:color w:val="1155cc"/>
            <w:sz w:val="22"/>
            <w:szCs w:val="22"/>
            <w:u w:val="single"/>
            <w:rtl w:val="0"/>
          </w:rPr>
          <w:t xml:space="preserve">10.1111/gcb.12649</w:t>
        </w:r>
      </w:hyperlink>
      <w:hyperlink r:id="rId135">
        <w:r w:rsidDel="00000000" w:rsidR="00000000" w:rsidRPr="00000000">
          <w:rPr>
            <w:b w:val="0"/>
            <w:bCs w:val="0"/>
            <w:i w:val="0"/>
            <w:iCs w:val="0"/>
            <w:color w:val="000000"/>
            <w:sz w:val="22"/>
            <w:szCs w:val="22"/>
            <w:u w:val="none"/>
            <w:rtl w:val="0"/>
          </w:rPr>
          <w:t xml:space="preserve">, 2014.</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36">
        <w:r w:rsidDel="00000000" w:rsidR="00000000" w:rsidRPr="00000000">
          <w:rPr>
            <w:b w:val="0"/>
            <w:bCs w:val="0"/>
            <w:i w:val="0"/>
            <w:iCs w:val="0"/>
            <w:color w:val="000000"/>
            <w:sz w:val="22"/>
            <w:szCs w:val="22"/>
            <w:u w:val="none"/>
            <w:rtl w:val="0"/>
          </w:rPr>
          <w:t xml:space="preserve">Baldocchi, D. and Meyers, T.: On using eco-physiological, micrometeorological and biogeochemical theory to evaluate carbon dioxide, water vapor and trace gas fluxes over vegetation: a perspective, Agric. For. Meteorol., 90, 1–25, https://doi.org/</w:t>
        </w:r>
      </w:hyperlink>
      <w:hyperlink r:id="rId137">
        <w:r w:rsidDel="00000000" w:rsidR="00000000" w:rsidRPr="00000000">
          <w:rPr>
            <w:b w:val="0"/>
            <w:bCs w:val="0"/>
            <w:i w:val="0"/>
            <w:iCs w:val="0"/>
            <w:color w:val="1155cc"/>
            <w:sz w:val="22"/>
            <w:szCs w:val="22"/>
            <w:u w:val="single"/>
            <w:rtl w:val="0"/>
          </w:rPr>
          <w:t xml:space="preserve">10.1016/S0168-1923(97)00072-5</w:t>
        </w:r>
      </w:hyperlink>
      <w:hyperlink r:id="rId138">
        <w:r w:rsidDel="00000000" w:rsidR="00000000" w:rsidRPr="00000000">
          <w:rPr>
            <w:b w:val="0"/>
            <w:bCs w:val="0"/>
            <w:i w:val="0"/>
            <w:iCs w:val="0"/>
            <w:color w:val="000000"/>
            <w:sz w:val="22"/>
            <w:szCs w:val="22"/>
            <w:u w:val="none"/>
            <w:rtl w:val="0"/>
          </w:rPr>
          <w:t xml:space="preserve">, 1998.</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39">
        <w:r w:rsidDel="00000000" w:rsidR="00000000" w:rsidRPr="00000000">
          <w:rPr>
            <w:b w:val="0"/>
            <w:bCs w:val="0"/>
            <w:i w:val="0"/>
            <w:iCs w:val="0"/>
            <w:color w:val="000000"/>
            <w:sz w:val="22"/>
            <w:szCs w:val="22"/>
            <w:u w:val="none"/>
            <w:rtl w:val="0"/>
          </w:rPr>
          <w:t xml:space="preserve">Baldocchi, D. D.: Assessing the eddy covariance technique for evaluating carbon dioxide exchange rates of ecosystems: past, present and future, Glob. Chang. Biol., 9, 479–492, 2003.</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40">
        <w:r w:rsidDel="00000000" w:rsidR="00000000" w:rsidRPr="00000000">
          <w:rPr>
            <w:b w:val="0"/>
            <w:bCs w:val="0"/>
            <w:i w:val="0"/>
            <w:iCs w:val="0"/>
            <w:color w:val="000000"/>
            <w:sz w:val="22"/>
            <w:szCs w:val="22"/>
            <w:u w:val="none"/>
            <w:rtl w:val="0"/>
          </w:rPr>
          <w:t xml:space="preserve">Baldocchi, D. D. and Meyers, T. P.: Trace gas exchange above the floor of a deciduous forest: 1. Evaporation and CO</w:t>
        </w:r>
      </w:hyperlink>
      <w:hyperlink r:id="rId141">
        <w:r w:rsidDel="00000000" w:rsidR="00000000" w:rsidRPr="00000000">
          <w:rPr>
            <w:b w:val="0"/>
            <w:bCs w:val="0"/>
            <w:i w:val="0"/>
            <w:iCs w:val="0"/>
            <w:color w:val="000000"/>
            <w:sz w:val="22"/>
            <w:szCs w:val="22"/>
            <w:u w:val="none"/>
            <w:vertAlign w:val="subscript"/>
            <w:rtl w:val="0"/>
          </w:rPr>
          <w:t xml:space="preserve">2</w:t>
        </w:r>
      </w:hyperlink>
      <w:hyperlink r:id="rId142">
        <w:r w:rsidDel="00000000" w:rsidR="00000000" w:rsidRPr="00000000">
          <w:rPr>
            <w:b w:val="0"/>
            <w:bCs w:val="0"/>
            <w:i w:val="0"/>
            <w:iCs w:val="0"/>
            <w:color w:val="000000"/>
            <w:sz w:val="22"/>
            <w:szCs w:val="22"/>
            <w:u w:val="none"/>
            <w:rtl w:val="0"/>
          </w:rPr>
          <w:t xml:space="preserve"> efflux, J. Geophys. Res., 96, 7271–7285, https://doi.org/</w:t>
        </w:r>
      </w:hyperlink>
      <w:hyperlink r:id="rId143">
        <w:r w:rsidDel="00000000" w:rsidR="00000000" w:rsidRPr="00000000">
          <w:rPr>
            <w:b w:val="0"/>
            <w:bCs w:val="0"/>
            <w:i w:val="0"/>
            <w:iCs w:val="0"/>
            <w:color w:val="1155cc"/>
            <w:sz w:val="22"/>
            <w:szCs w:val="22"/>
            <w:u w:val="single"/>
            <w:rtl w:val="0"/>
          </w:rPr>
          <w:t xml:space="preserve">10.1029/91jd00269</w:t>
        </w:r>
      </w:hyperlink>
      <w:hyperlink r:id="rId144">
        <w:r w:rsidDel="00000000" w:rsidR="00000000" w:rsidRPr="00000000">
          <w:rPr>
            <w:b w:val="0"/>
            <w:bCs w:val="0"/>
            <w:i w:val="0"/>
            <w:iCs w:val="0"/>
            <w:color w:val="000000"/>
            <w:sz w:val="22"/>
            <w:szCs w:val="22"/>
            <w:u w:val="none"/>
            <w:rtl w:val="0"/>
          </w:rPr>
          <w:t xml:space="preserve">, 1991.</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45">
        <w:r w:rsidDel="00000000" w:rsidR="00000000" w:rsidRPr="00000000">
          <w:rPr>
            <w:b w:val="0"/>
            <w:bCs w:val="0"/>
            <w:i w:val="0"/>
            <w:iCs w:val="0"/>
            <w:color w:val="000000"/>
            <w:sz w:val="22"/>
            <w:szCs w:val="22"/>
            <w:u w:val="none"/>
            <w:rtl w:val="0"/>
          </w:rPr>
          <w:t xml:space="preserve">Bolinius, D. J., Jahnke, A., and MacLeod, M.: Comparison of eddy covariance and modified Bowen ratio methods for measuring gas fluxes and implications for measuring fluxes of persistent organic pollutants, Atmos. Chem. Phys., 16, 5315–5322, https://doi.org/</w:t>
        </w:r>
      </w:hyperlink>
      <w:hyperlink r:id="rId146">
        <w:r w:rsidDel="00000000" w:rsidR="00000000" w:rsidRPr="00000000">
          <w:rPr>
            <w:b w:val="0"/>
            <w:bCs w:val="0"/>
            <w:i w:val="0"/>
            <w:iCs w:val="0"/>
            <w:color w:val="1155cc"/>
            <w:sz w:val="22"/>
            <w:szCs w:val="22"/>
            <w:u w:val="single"/>
            <w:rtl w:val="0"/>
          </w:rPr>
          <w:t xml:space="preserve">10.5194/acp-16-5315-2016</w:t>
        </w:r>
      </w:hyperlink>
      <w:hyperlink r:id="rId147">
        <w:r w:rsidDel="00000000" w:rsidR="00000000" w:rsidRPr="00000000">
          <w:rPr>
            <w:b w:val="0"/>
            <w:bCs w:val="0"/>
            <w:i w:val="0"/>
            <w:iCs w:val="0"/>
            <w:color w:val="000000"/>
            <w:sz w:val="22"/>
            <w:szCs w:val="22"/>
            <w:u w:val="none"/>
            <w:rtl w:val="0"/>
          </w:rPr>
          <w:t xml:space="preserve">, 2016.</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48">
        <w:r w:rsidDel="00000000" w:rsidR="00000000" w:rsidRPr="00000000">
          <w:rPr>
            <w:b w:val="0"/>
            <w:bCs w:val="0"/>
            <w:i w:val="0"/>
            <w:iCs w:val="0"/>
            <w:color w:val="000000"/>
            <w:sz w:val="22"/>
            <w:szCs w:val="22"/>
            <w:u w:val="none"/>
            <w:rtl w:val="0"/>
          </w:rPr>
          <w:t xml:space="preserve">Brock, F. V.: A Nonlinear Filter to Remove Impulse Noise from Meteorological Data, J. Atmos. Ocean. Technol., 3, 51–58, https://doi.org/</w:t>
        </w:r>
      </w:hyperlink>
      <w:hyperlink r:id="rId149">
        <w:r w:rsidDel="00000000" w:rsidR="00000000" w:rsidRPr="00000000">
          <w:rPr>
            <w:b w:val="0"/>
            <w:bCs w:val="0"/>
            <w:i w:val="0"/>
            <w:iCs w:val="0"/>
            <w:color w:val="1155cc"/>
            <w:sz w:val="22"/>
            <w:szCs w:val="22"/>
            <w:u w:val="single"/>
            <w:rtl w:val="0"/>
          </w:rPr>
          <w:t xml:space="preserve">10.1175/1520-0426(1986)003&lt;0051:ANFTRI&gt;2.0.CO;2</w:t>
        </w:r>
      </w:hyperlink>
      <w:hyperlink r:id="rId150">
        <w:r w:rsidDel="00000000" w:rsidR="00000000" w:rsidRPr="00000000">
          <w:rPr>
            <w:b w:val="0"/>
            <w:bCs w:val="0"/>
            <w:i w:val="0"/>
            <w:iCs w:val="0"/>
            <w:color w:val="000000"/>
            <w:sz w:val="22"/>
            <w:szCs w:val="22"/>
            <w:u w:val="none"/>
            <w:rtl w:val="0"/>
          </w:rPr>
          <w:t xml:space="preserve">, 1986.</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1">
        <w:r w:rsidDel="00000000" w:rsidR="00000000" w:rsidRPr="00000000">
          <w:rPr>
            <w:b w:val="0"/>
            <w:bCs w:val="0"/>
            <w:i w:val="0"/>
            <w:iCs w:val="0"/>
            <w:color w:val="000000"/>
            <w:sz w:val="22"/>
            <w:szCs w:val="22"/>
            <w:u w:val="none"/>
            <w:rtl w:val="0"/>
          </w:rPr>
          <w:t xml:space="preserve">Brown, S. E., Wagner-Riddle, C., and Conrad, B.: Low-power flux gradient measurements for quantifying the impact of agricultural management on nitrous oxide emissions, Agric. For. Meteorol., 353, 110027, https://doi.org/</w:t>
        </w:r>
      </w:hyperlink>
      <w:hyperlink r:id="rId152">
        <w:r w:rsidDel="00000000" w:rsidR="00000000" w:rsidRPr="00000000">
          <w:rPr>
            <w:b w:val="0"/>
            <w:bCs w:val="0"/>
            <w:i w:val="0"/>
            <w:iCs w:val="0"/>
            <w:color w:val="1155cc"/>
            <w:sz w:val="22"/>
            <w:szCs w:val="22"/>
            <w:u w:val="single"/>
            <w:rtl w:val="0"/>
          </w:rPr>
          <w:t xml:space="preserve">10.1016/j.agrformet.2024.110027</w:t>
        </w:r>
      </w:hyperlink>
      <w:hyperlink r:id="rId153">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4">
        <w:r w:rsidDel="00000000" w:rsidR="00000000" w:rsidRPr="00000000">
          <w:rPr>
            <w:b w:val="0"/>
            <w:bCs w:val="0"/>
            <w:i w:val="0"/>
            <w:iCs w:val="0"/>
            <w:color w:val="000000"/>
            <w:sz w:val="22"/>
            <w:szCs w:val="22"/>
            <w:u w:val="none"/>
            <w:rtl w:val="0"/>
          </w:rPr>
          <w:t xml:space="preserve">Cellier, P. and Brunet, Y.: Flux-gradient relationships above tall plant canopies, Agric. For. Meteorol., 58, 93–117, https://doi.org/</w:t>
        </w:r>
      </w:hyperlink>
      <w:hyperlink r:id="rId155">
        <w:r w:rsidDel="00000000" w:rsidR="00000000" w:rsidRPr="00000000">
          <w:rPr>
            <w:b w:val="0"/>
            <w:bCs w:val="0"/>
            <w:i w:val="0"/>
            <w:iCs w:val="0"/>
            <w:color w:val="1155cc"/>
            <w:sz w:val="22"/>
            <w:szCs w:val="22"/>
            <w:u w:val="single"/>
            <w:rtl w:val="0"/>
          </w:rPr>
          <w:t xml:space="preserve">10.1016/0168-1923(92)90113-I</w:t>
        </w:r>
      </w:hyperlink>
      <w:hyperlink r:id="rId156">
        <w:r w:rsidDel="00000000" w:rsidR="00000000" w:rsidRPr="00000000">
          <w:rPr>
            <w:b w:val="0"/>
            <w:bCs w:val="0"/>
            <w:i w:val="0"/>
            <w:iCs w:val="0"/>
            <w:color w:val="000000"/>
            <w:sz w:val="22"/>
            <w:szCs w:val="22"/>
            <w:u w:val="none"/>
            <w:rtl w:val="0"/>
          </w:rPr>
          <w:t xml:space="preserve">, 1992.</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57">
        <w:r w:rsidDel="00000000" w:rsidR="00000000" w:rsidRPr="00000000">
          <w:rPr>
            <w:b w:val="0"/>
            <w:bCs w:val="0"/>
            <w:i w:val="0"/>
            <w:iCs w:val="0"/>
            <w:color w:val="000000"/>
            <w:sz w:val="22"/>
            <w:szCs w:val="22"/>
            <w:u w:val="none"/>
            <w:rtl w:val="0"/>
          </w:rPr>
          <w:t xml:space="preserve">Commane, R., Meredith, L. K., Baker, I. T., Berry, J. A., Munger, J. W., Montzka, S. A., Templer, P. H., Juice, S. M., Zahniser, M. S., and Wofsy, S. C.: Seasonal fluxes of carbonyl sulfide in a midlatitude forest, Proc. Natl. Acad. Sci. U. S. A., 112, 14162–14167, https://doi.org/</w:t>
        </w:r>
      </w:hyperlink>
      <w:hyperlink r:id="rId158">
        <w:r w:rsidDel="00000000" w:rsidR="00000000" w:rsidRPr="00000000">
          <w:rPr>
            <w:b w:val="0"/>
            <w:bCs w:val="0"/>
            <w:i w:val="0"/>
            <w:iCs w:val="0"/>
            <w:color w:val="1155cc"/>
            <w:sz w:val="22"/>
            <w:szCs w:val="22"/>
            <w:u w:val="single"/>
            <w:rtl w:val="0"/>
          </w:rPr>
          <w:t xml:space="preserve">10.1073/pnas.1504131112</w:t>
        </w:r>
      </w:hyperlink>
      <w:hyperlink r:id="rId159">
        <w:r w:rsidDel="00000000" w:rsidR="00000000" w:rsidRPr="00000000">
          <w:rPr>
            <w:b w:val="0"/>
            <w:bCs w:val="0"/>
            <w:i w:val="0"/>
            <w:iCs w:val="0"/>
            <w:color w:val="000000"/>
            <w:sz w:val="22"/>
            <w:szCs w:val="22"/>
            <w:u w:val="none"/>
            <w:rtl w:val="0"/>
          </w:rPr>
          <w:t xml:space="preserve">, 2015.</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0">
        <w:r w:rsidDel="00000000" w:rsidR="00000000" w:rsidRPr="00000000">
          <w:rPr>
            <w:b w:val="0"/>
            <w:bCs w:val="0"/>
            <w:i w:val="0"/>
            <w:iCs w:val="0"/>
            <w:color w:val="000000"/>
            <w:sz w:val="22"/>
            <w:szCs w:val="22"/>
            <w:u w:val="none"/>
            <w:rtl w:val="0"/>
          </w:rPr>
          <w:t xml:space="preserve">Denmead, O. T. and Bradley, E. F.: Flux-gradient relationships in a forest canopy, in: The Forest-Atmosphere Interaction, Springer Netherlands, Dordrecht, 421–442, https://doi.org/</w:t>
        </w:r>
      </w:hyperlink>
      <w:hyperlink r:id="rId161">
        <w:r w:rsidDel="00000000" w:rsidR="00000000" w:rsidRPr="00000000">
          <w:rPr>
            <w:b w:val="0"/>
            <w:bCs w:val="0"/>
            <w:i w:val="0"/>
            <w:iCs w:val="0"/>
            <w:color w:val="1155cc"/>
            <w:sz w:val="22"/>
            <w:szCs w:val="22"/>
            <w:u w:val="single"/>
            <w:rtl w:val="0"/>
          </w:rPr>
          <w:t xml:space="preserve">10.1007/978-94-009-5305-5_27</w:t>
        </w:r>
      </w:hyperlink>
      <w:hyperlink r:id="rId162">
        <w:r w:rsidDel="00000000" w:rsidR="00000000" w:rsidRPr="00000000">
          <w:rPr>
            <w:b w:val="0"/>
            <w:bCs w:val="0"/>
            <w:i w:val="0"/>
            <w:iCs w:val="0"/>
            <w:color w:val="000000"/>
            <w:sz w:val="22"/>
            <w:szCs w:val="22"/>
            <w:u w:val="none"/>
            <w:rtl w:val="0"/>
          </w:rPr>
          <w:t xml:space="preserve">, 1985.</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3">
        <w:r w:rsidDel="00000000" w:rsidR="00000000" w:rsidRPr="00000000">
          <w:rPr>
            <w:b w:val="0"/>
            <w:bCs w:val="0"/>
            <w:i w:val="0"/>
            <w:iCs w:val="0"/>
            <w:color w:val="000000"/>
            <w:sz w:val="22"/>
            <w:szCs w:val="22"/>
            <w:u w:val="none"/>
            <w:rtl w:val="0"/>
          </w:rPr>
          <w:t xml:space="preserve">Dyer, A. J. and Hicks, B. B.: Flux-gradient relationships in the constant flux layer, Quart. J. Roy. Meteor. Soc., 96, 715–721, https://doi.org/</w:t>
        </w:r>
      </w:hyperlink>
      <w:hyperlink r:id="rId164">
        <w:r w:rsidDel="00000000" w:rsidR="00000000" w:rsidRPr="00000000">
          <w:rPr>
            <w:b w:val="0"/>
            <w:bCs w:val="0"/>
            <w:i w:val="0"/>
            <w:iCs w:val="0"/>
            <w:color w:val="1155cc"/>
            <w:sz w:val="22"/>
            <w:szCs w:val="22"/>
            <w:u w:val="single"/>
            <w:rtl w:val="0"/>
          </w:rPr>
          <w:t xml:space="preserve">10.1002/qj.49709641012</w:t>
        </w:r>
      </w:hyperlink>
      <w:hyperlink r:id="rId165">
        <w:r w:rsidDel="00000000" w:rsidR="00000000" w:rsidRPr="00000000">
          <w:rPr>
            <w:b w:val="0"/>
            <w:bCs w:val="0"/>
            <w:i w:val="0"/>
            <w:iCs w:val="0"/>
            <w:color w:val="000000"/>
            <w:sz w:val="22"/>
            <w:szCs w:val="22"/>
            <w:u w:val="none"/>
            <w:rtl w:val="0"/>
          </w:rPr>
          <w:t xml:space="preserve">, 1970.</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6">
        <w:r w:rsidDel="00000000" w:rsidR="00000000" w:rsidRPr="00000000">
          <w:rPr>
            <w:b w:val="0"/>
            <w:bCs w:val="0"/>
            <w:i w:val="0"/>
            <w:iCs w:val="0"/>
            <w:color w:val="000000"/>
            <w:sz w:val="22"/>
            <w:szCs w:val="22"/>
            <w:u w:val="none"/>
            <w:rtl w:val="0"/>
          </w:rPr>
          <w:t xml:space="preserve">Edwards, G. C., Thurtell, G. W., Kidd, G. E., Dias, G. M., and Wagner-Riddle, C.: A diode laser based gas monitor suitable for measurement of trace gas exchange using micrometeorological techniques, Agric. For. Meteorol., 115, 71–89, https://doi.org/</w:t>
        </w:r>
      </w:hyperlink>
      <w:hyperlink r:id="rId167">
        <w:r w:rsidDel="00000000" w:rsidR="00000000" w:rsidRPr="00000000">
          <w:rPr>
            <w:b w:val="0"/>
            <w:bCs w:val="0"/>
            <w:i w:val="0"/>
            <w:iCs w:val="0"/>
            <w:color w:val="1155cc"/>
            <w:sz w:val="22"/>
            <w:szCs w:val="22"/>
            <w:u w:val="single"/>
            <w:rtl w:val="0"/>
          </w:rPr>
          <w:t xml:space="preserve">10.1016/s0168-1923(02)00166-1</w:t>
        </w:r>
      </w:hyperlink>
      <w:hyperlink r:id="rId168">
        <w:r w:rsidDel="00000000" w:rsidR="00000000" w:rsidRPr="00000000">
          <w:rPr>
            <w:b w:val="0"/>
            <w:bCs w:val="0"/>
            <w:i w:val="0"/>
            <w:iCs w:val="0"/>
            <w:color w:val="000000"/>
            <w:sz w:val="22"/>
            <w:szCs w:val="22"/>
            <w:u w:val="none"/>
            <w:rtl w:val="0"/>
          </w:rPr>
          <w:t xml:space="preserve">, 2003.</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69">
        <w:r w:rsidDel="00000000" w:rsidR="00000000" w:rsidRPr="00000000">
          <w:rPr>
            <w:b w:val="0"/>
            <w:bCs w:val="0"/>
            <w:i w:val="0"/>
            <w:iCs w:val="0"/>
            <w:color w:val="000000"/>
            <w:sz w:val="22"/>
            <w:szCs w:val="22"/>
            <w:u w:val="none"/>
            <w:rtl w:val="0"/>
          </w:rPr>
          <w:t xml:space="preserve">Foken, T. and Leclerc, M. Y.: Methods and limitations in validation of footprint models, Agric. For. Meteorol., 127, 223–234, https://doi.org/</w:t>
        </w:r>
      </w:hyperlink>
      <w:hyperlink r:id="rId170">
        <w:r w:rsidDel="00000000" w:rsidR="00000000" w:rsidRPr="00000000">
          <w:rPr>
            <w:b w:val="0"/>
            <w:bCs w:val="0"/>
            <w:i w:val="0"/>
            <w:iCs w:val="0"/>
            <w:color w:val="1155cc"/>
            <w:sz w:val="22"/>
            <w:szCs w:val="22"/>
            <w:u w:val="single"/>
            <w:rtl w:val="0"/>
          </w:rPr>
          <w:t xml:space="preserve">10.1016/j.agrformet.2004.07.015</w:t>
        </w:r>
      </w:hyperlink>
      <w:hyperlink r:id="rId171">
        <w:r w:rsidDel="00000000" w:rsidR="00000000" w:rsidRPr="00000000">
          <w:rPr>
            <w:b w:val="0"/>
            <w:bCs w:val="0"/>
            <w:i w:val="0"/>
            <w:iCs w:val="0"/>
            <w:color w:val="000000"/>
            <w:sz w:val="22"/>
            <w:szCs w:val="22"/>
            <w:u w:val="none"/>
            <w:rtl w:val="0"/>
          </w:rPr>
          <w:t xml:space="preserve">, 2004.</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2">
        <w:r w:rsidDel="00000000" w:rsidR="00000000" w:rsidRPr="00000000">
          <w:rPr>
            <w:b w:val="0"/>
            <w:bCs w:val="0"/>
            <w:i w:val="0"/>
            <w:iCs w:val="0"/>
            <w:color w:val="000000"/>
            <w:sz w:val="22"/>
            <w:szCs w:val="22"/>
            <w:u w:val="none"/>
            <w:rtl w:val="0"/>
          </w:rPr>
          <w:t xml:space="preserve">Garratt, J. R.: Flux profile relations above tall vegetation, Q. J. R. Meteorol. Soc., 104, 199–211, https://doi.org/</w:t>
        </w:r>
      </w:hyperlink>
      <w:hyperlink r:id="rId173">
        <w:r w:rsidDel="00000000" w:rsidR="00000000" w:rsidRPr="00000000">
          <w:rPr>
            <w:b w:val="0"/>
            <w:bCs w:val="0"/>
            <w:i w:val="0"/>
            <w:iCs w:val="0"/>
            <w:color w:val="1155cc"/>
            <w:sz w:val="22"/>
            <w:szCs w:val="22"/>
            <w:u w:val="single"/>
            <w:rtl w:val="0"/>
          </w:rPr>
          <w:t xml:space="preserve">10.1002/qj.49710443915</w:t>
        </w:r>
      </w:hyperlink>
      <w:hyperlink r:id="rId174">
        <w:r w:rsidDel="00000000" w:rsidR="00000000" w:rsidRPr="00000000">
          <w:rPr>
            <w:b w:val="0"/>
            <w:bCs w:val="0"/>
            <w:i w:val="0"/>
            <w:iCs w:val="0"/>
            <w:color w:val="000000"/>
            <w:sz w:val="22"/>
            <w:szCs w:val="22"/>
            <w:u w:val="none"/>
            <w:rtl w:val="0"/>
          </w:rPr>
          <w:t xml:space="preserve">, 1978.</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5">
        <w:r w:rsidDel="00000000" w:rsidR="00000000" w:rsidRPr="00000000">
          <w:rPr>
            <w:b w:val="0"/>
            <w:bCs w:val="0"/>
            <w:i w:val="0"/>
            <w:iCs w:val="0"/>
            <w:color w:val="000000"/>
            <w:sz w:val="22"/>
            <w:szCs w:val="22"/>
            <w:u w:val="none"/>
            <w:rtl w:val="0"/>
          </w:rPr>
          <w:t xml:space="preserve">Genuer, R., Poggi, J.-M., and Tuleau-Malot, C.: VSURF: an R package for variable selection using random forests, 2015.</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6">
        <w:r w:rsidDel="00000000" w:rsidR="00000000" w:rsidRPr="00000000">
          <w:rPr>
            <w:b w:val="0"/>
            <w:bCs w:val="0"/>
            <w:i w:val="0"/>
            <w:iCs w:val="0"/>
            <w:color w:val="000000"/>
            <w:sz w:val="22"/>
            <w:szCs w:val="22"/>
            <w:u w:val="none"/>
            <w:rtl w:val="0"/>
          </w:rPr>
          <w:t xml:space="preserve">Griffith, D. W. T., Leuning, R., Denmead, O. T., and Jamie, I. M.: Air–land exchanges of CO2, CH4 and N2O measured by FTIR spectrometry and micrometeorological techniques, Atmos. Environ. (1994), 36, 1833–1842, https://doi.org/</w:t>
        </w:r>
      </w:hyperlink>
      <w:hyperlink r:id="rId177">
        <w:r w:rsidDel="00000000" w:rsidR="00000000" w:rsidRPr="00000000">
          <w:rPr>
            <w:b w:val="0"/>
            <w:bCs w:val="0"/>
            <w:i w:val="0"/>
            <w:iCs w:val="0"/>
            <w:color w:val="1155cc"/>
            <w:sz w:val="22"/>
            <w:szCs w:val="22"/>
            <w:u w:val="single"/>
            <w:rtl w:val="0"/>
          </w:rPr>
          <w:t xml:space="preserve">10.1016/s1352-2310(02)00139-5</w:t>
        </w:r>
      </w:hyperlink>
      <w:hyperlink r:id="rId178">
        <w:r w:rsidDel="00000000" w:rsidR="00000000" w:rsidRPr="00000000">
          <w:rPr>
            <w:b w:val="0"/>
            <w:bCs w:val="0"/>
            <w:i w:val="0"/>
            <w:iCs w:val="0"/>
            <w:color w:val="000000"/>
            <w:sz w:val="22"/>
            <w:szCs w:val="22"/>
            <w:u w:val="none"/>
            <w:rtl w:val="0"/>
          </w:rPr>
          <w:t xml:space="preserve">, 2002.</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79">
        <w:r w:rsidDel="00000000" w:rsidR="00000000" w:rsidRPr="00000000">
          <w:rPr>
            <w:b w:val="0"/>
            <w:bCs w:val="0"/>
            <w:i w:val="0"/>
            <w:iCs w:val="0"/>
            <w:color w:val="000000"/>
            <w:sz w:val="22"/>
            <w:szCs w:val="22"/>
            <w:u w:val="none"/>
            <w:rtl w:val="0"/>
          </w:rPr>
          <w:t xml:space="preserve">Guenther, A. B., Jiang, X., Heald, C. L., Sakulyanontvittaya, T., Duhl, T., Emmons, L. K., and Wang, X.: The Model of Emissions of Gases and Aerosols from Nature version 2.1 (MEGAN2.1): an extended and updated framework for modeling biogenic emissions, Geosci. Model Dev., 5, 1471–1492, https://doi.org/</w:t>
        </w:r>
      </w:hyperlink>
      <w:hyperlink r:id="rId180">
        <w:r w:rsidDel="00000000" w:rsidR="00000000" w:rsidRPr="00000000">
          <w:rPr>
            <w:b w:val="0"/>
            <w:bCs w:val="0"/>
            <w:i w:val="0"/>
            <w:iCs w:val="0"/>
            <w:color w:val="1155cc"/>
            <w:sz w:val="22"/>
            <w:szCs w:val="22"/>
            <w:u w:val="single"/>
            <w:rtl w:val="0"/>
          </w:rPr>
          <w:t xml:space="preserve">10.5194/gmd-5-1471-2012</w:t>
        </w:r>
      </w:hyperlink>
      <w:hyperlink r:id="rId181">
        <w:r w:rsidDel="00000000" w:rsidR="00000000" w:rsidRPr="00000000">
          <w:rPr>
            <w:b w:val="0"/>
            <w:bCs w:val="0"/>
            <w:i w:val="0"/>
            <w:iCs w:val="0"/>
            <w:color w:val="000000"/>
            <w:sz w:val="22"/>
            <w:szCs w:val="22"/>
            <w:u w:val="none"/>
            <w:rtl w:val="0"/>
          </w:rPr>
          <w:t xml:space="preserve">, 2012.</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82">
        <w:r w:rsidDel="00000000" w:rsidR="00000000" w:rsidRPr="00000000">
          <w:rPr>
            <w:b w:val="0"/>
            <w:bCs w:val="0"/>
            <w:i w:val="0"/>
            <w:iCs w:val="0"/>
            <w:color w:val="000000"/>
            <w:sz w:val="22"/>
            <w:szCs w:val="22"/>
            <w:u w:val="none"/>
            <w:rtl w:val="0"/>
          </w:rPr>
          <w:t xml:space="preserve">Gu, L., Falge, E. M., Boden, T., Baldocchi, D. D., Black, T. A., Saleska, S. R., Suni, T., Verma, S. B., Vesala, T., Wofsy, S. C., and Xu, L.: Objective threshold determination for nighttime eddy flux filtering, Agric. For. Meteorol., 128, 179–197, https://doi.org/</w:t>
        </w:r>
      </w:hyperlink>
      <w:hyperlink r:id="rId183">
        <w:r w:rsidDel="00000000" w:rsidR="00000000" w:rsidRPr="00000000">
          <w:rPr>
            <w:b w:val="0"/>
            <w:bCs w:val="0"/>
            <w:i w:val="0"/>
            <w:iCs w:val="0"/>
            <w:color w:val="1155cc"/>
            <w:sz w:val="22"/>
            <w:szCs w:val="22"/>
            <w:u w:val="single"/>
            <w:rtl w:val="0"/>
          </w:rPr>
          <w:t xml:space="preserve">10.1016/j.agrformet.2004.11.006</w:t>
        </w:r>
      </w:hyperlink>
      <w:hyperlink r:id="rId184">
        <w:r w:rsidDel="00000000" w:rsidR="00000000" w:rsidRPr="00000000">
          <w:rPr>
            <w:b w:val="0"/>
            <w:bCs w:val="0"/>
            <w:i w:val="0"/>
            <w:iCs w:val="0"/>
            <w:color w:val="000000"/>
            <w:sz w:val="22"/>
            <w:szCs w:val="22"/>
            <w:u w:val="none"/>
            <w:rtl w:val="0"/>
          </w:rPr>
          <w:t xml:space="preserve">, 2005.</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85">
        <w:r w:rsidDel="00000000" w:rsidR="00000000" w:rsidRPr="00000000">
          <w:rPr>
            <w:b w:val="0"/>
            <w:bCs w:val="0"/>
            <w:i w:val="0"/>
            <w:iCs w:val="0"/>
            <w:color w:val="000000"/>
            <w:sz w:val="22"/>
            <w:szCs w:val="22"/>
            <w:u w:val="none"/>
            <w:rtl w:val="0"/>
          </w:rPr>
          <w:t xml:space="preserve">Hall, B., Claiborn, C., and Baldocchi, D.: Measurement and modeling of the dry deposition of peroxides, Atmos. Environ. (1994), 33, 577–589, https://doi.org/</w:t>
        </w:r>
      </w:hyperlink>
      <w:hyperlink r:id="rId186">
        <w:r w:rsidDel="00000000" w:rsidR="00000000" w:rsidRPr="00000000">
          <w:rPr>
            <w:b w:val="0"/>
            <w:bCs w:val="0"/>
            <w:i w:val="0"/>
            <w:iCs w:val="0"/>
            <w:color w:val="1155cc"/>
            <w:sz w:val="22"/>
            <w:szCs w:val="22"/>
            <w:u w:val="single"/>
            <w:rtl w:val="0"/>
          </w:rPr>
          <w:t xml:space="preserve">10.1016/s1352-2310(98)00271-4</w:t>
        </w:r>
      </w:hyperlink>
      <w:hyperlink r:id="rId187">
        <w:r w:rsidDel="00000000" w:rsidR="00000000" w:rsidRPr="00000000">
          <w:rPr>
            <w:b w:val="0"/>
            <w:bCs w:val="0"/>
            <w:i w:val="0"/>
            <w:iCs w:val="0"/>
            <w:color w:val="000000"/>
            <w:sz w:val="22"/>
            <w:szCs w:val="22"/>
            <w:u w:val="none"/>
            <w:rtl w:val="0"/>
          </w:rPr>
          <w:t xml:space="preserve">, 1999.</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88">
        <w:r w:rsidDel="00000000" w:rsidR="00000000" w:rsidRPr="00000000">
          <w:rPr>
            <w:b w:val="0"/>
            <w:bCs w:val="0"/>
            <w:i w:val="0"/>
            <w:iCs w:val="0"/>
            <w:color w:val="000000"/>
            <w:sz w:val="22"/>
            <w:szCs w:val="22"/>
            <w:u w:val="none"/>
            <w:rtl w:val="0"/>
          </w:rPr>
          <w:t xml:space="preserve">Hicks, B. B. and Baldocchi, D. D.: Measurement of fluxes over land: Capabilities, origins, and remaining challenges, Boundary Layer Meteorol., 177, 365–394, https://doi.org/</w:t>
        </w:r>
      </w:hyperlink>
      <w:hyperlink r:id="rId189">
        <w:r w:rsidDel="00000000" w:rsidR="00000000" w:rsidRPr="00000000">
          <w:rPr>
            <w:b w:val="0"/>
            <w:bCs w:val="0"/>
            <w:i w:val="0"/>
            <w:iCs w:val="0"/>
            <w:color w:val="1155cc"/>
            <w:sz w:val="22"/>
            <w:szCs w:val="22"/>
            <w:u w:val="single"/>
            <w:rtl w:val="0"/>
          </w:rPr>
          <w:t xml:space="preserve">10.1007/s10546-020-00531-y</w:t>
        </w:r>
      </w:hyperlink>
      <w:hyperlink r:id="rId190">
        <w:r w:rsidDel="00000000" w:rsidR="00000000" w:rsidRPr="00000000">
          <w:rPr>
            <w:b w:val="0"/>
            <w:bCs w:val="0"/>
            <w:i w:val="0"/>
            <w:iCs w:val="0"/>
            <w:color w:val="000000"/>
            <w:sz w:val="22"/>
            <w:szCs w:val="22"/>
            <w:u w:val="none"/>
            <w:rtl w:val="0"/>
          </w:rPr>
          <w:t xml:space="preserve">, 2020.</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91">
        <w:r w:rsidDel="00000000" w:rsidR="00000000" w:rsidRPr="00000000">
          <w:rPr>
            <w:b w:val="0"/>
            <w:bCs w:val="0"/>
            <w:i w:val="0"/>
            <w:iCs w:val="0"/>
            <w:color w:val="000000"/>
            <w:sz w:val="22"/>
            <w:szCs w:val="22"/>
            <w:u w:val="none"/>
            <w:rtl w:val="0"/>
          </w:rPr>
          <w:t xml:space="preserve">Högström, U., Bergström, H., Smedman, A.-S., Halldin, S., and Lindroth, A.: Turbulent exchange above a pine forest, I: Fluxes and gradients, Boundary Layer Meteorol., 49, 197–217, https://doi.org/</w:t>
        </w:r>
      </w:hyperlink>
      <w:hyperlink r:id="rId192">
        <w:r w:rsidDel="00000000" w:rsidR="00000000" w:rsidRPr="00000000">
          <w:rPr>
            <w:b w:val="0"/>
            <w:bCs w:val="0"/>
            <w:i w:val="0"/>
            <w:iCs w:val="0"/>
            <w:color w:val="1155cc"/>
            <w:sz w:val="22"/>
            <w:szCs w:val="22"/>
            <w:u w:val="single"/>
            <w:rtl w:val="0"/>
          </w:rPr>
          <w:t xml:space="preserve">10.1007/bf00116411</w:t>
        </w:r>
      </w:hyperlink>
      <w:hyperlink r:id="rId193">
        <w:r w:rsidDel="00000000" w:rsidR="00000000" w:rsidRPr="00000000">
          <w:rPr>
            <w:b w:val="0"/>
            <w:bCs w:val="0"/>
            <w:i w:val="0"/>
            <w:iCs w:val="0"/>
            <w:color w:val="000000"/>
            <w:sz w:val="22"/>
            <w:szCs w:val="22"/>
            <w:u w:val="none"/>
            <w:rtl w:val="0"/>
          </w:rPr>
          <w:t xml:space="preserve">, 1989.</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94">
        <w:r w:rsidDel="00000000" w:rsidR="00000000" w:rsidRPr="00000000">
          <w:rPr>
            <w:b w:val="0"/>
            <w:bCs w:val="0"/>
            <w:i w:val="0"/>
            <w:iCs w:val="0"/>
            <w:color w:val="000000"/>
            <w:sz w:val="22"/>
            <w:szCs w:val="22"/>
            <w:u w:val="none"/>
            <w:rtl w:val="0"/>
          </w:rPr>
          <w:t xml:space="preserve">Horst, T. W.: The Footprint for Estimation of Atmosphere-Surface Exchange Fluxes by Profile Techniques, https://doi.org/</w:t>
        </w:r>
      </w:hyperlink>
      <w:hyperlink r:id="rId195">
        <w:r w:rsidDel="00000000" w:rsidR="00000000" w:rsidRPr="00000000">
          <w:rPr>
            <w:b w:val="0"/>
            <w:bCs w:val="0"/>
            <w:i w:val="0"/>
            <w:iCs w:val="0"/>
            <w:color w:val="1155cc"/>
            <w:sz w:val="22"/>
            <w:szCs w:val="22"/>
            <w:u w:val="single"/>
            <w:rtl w:val="0"/>
          </w:rPr>
          <w:t xml:space="preserve">10.1023/a:1001774726067</w:t>
        </w:r>
      </w:hyperlink>
      <w:hyperlink r:id="rId196">
        <w:r w:rsidDel="00000000" w:rsidR="00000000" w:rsidRPr="00000000">
          <w:rPr>
            <w:b w:val="0"/>
            <w:bCs w:val="0"/>
            <w:i w:val="0"/>
            <w:iCs w:val="0"/>
            <w:color w:val="000000"/>
            <w:sz w:val="22"/>
            <w:szCs w:val="22"/>
            <w:u w:val="none"/>
            <w:rtl w:val="0"/>
          </w:rPr>
          <w:t xml:space="preserve">, 1999.</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197">
        <w:r w:rsidDel="00000000" w:rsidR="00000000" w:rsidRPr="00000000">
          <w:rPr>
            <w:b w:val="0"/>
            <w:bCs w:val="0"/>
            <w:i w:val="0"/>
            <w:iCs w:val="0"/>
            <w:color w:val="000000"/>
            <w:sz w:val="22"/>
            <w:szCs w:val="22"/>
            <w:u w:val="none"/>
            <w:rtl w:val="0"/>
          </w:rPr>
          <w:t xml:space="preserve">Kamp, J. N., Häni, C., Nyord, T., Feilberg, A., and Sørensen, L. L.: The aerodynamic gradient method: Implications of non-simultaneous measurements at alternating heights, Atmosphere (Basel), 11, 1067, https://doi.org/</w:t>
        </w:r>
      </w:hyperlink>
      <w:hyperlink r:id="rId198">
        <w:r w:rsidDel="00000000" w:rsidR="00000000" w:rsidRPr="00000000">
          <w:rPr>
            <w:b w:val="0"/>
            <w:bCs w:val="0"/>
            <w:i w:val="0"/>
            <w:iCs w:val="0"/>
            <w:color w:val="1155cc"/>
            <w:sz w:val="22"/>
            <w:szCs w:val="22"/>
            <w:u w:val="single"/>
            <w:rtl w:val="0"/>
          </w:rPr>
          <w:t xml:space="preserve">10.3390/atmos11101067</w:t>
        </w:r>
      </w:hyperlink>
      <w:hyperlink r:id="rId199">
        <w:r w:rsidDel="00000000" w:rsidR="00000000" w:rsidRPr="00000000">
          <w:rPr>
            <w:b w:val="0"/>
            <w:bCs w:val="0"/>
            <w:i w:val="0"/>
            <w:iCs w:val="0"/>
            <w:color w:val="000000"/>
            <w:sz w:val="22"/>
            <w:szCs w:val="22"/>
            <w:u w:val="none"/>
            <w:rtl w:val="0"/>
          </w:rPr>
          <w:t xml:space="preserve">, 2020.</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00">
        <w:r w:rsidDel="00000000" w:rsidR="00000000" w:rsidRPr="00000000">
          <w:rPr>
            <w:b w:val="0"/>
            <w:bCs w:val="0"/>
            <w:i w:val="0"/>
            <w:iCs w:val="0"/>
            <w:color w:val="000000"/>
            <w:sz w:val="22"/>
            <w:szCs w:val="22"/>
            <w:u w:val="none"/>
            <w:rtl w:val="0"/>
          </w:rPr>
          <w:t xml:space="preserve">Kao, R. H., Gibson, C. M., Rachel E. Gallery, Meier, C. L., Barnett, D. T., Docherty, K. M., Blevins, K. K., Travers, P. D., Azuaje, E., Springer, Y. P., Thibault, K. M., McKenzie, V. J., Keller, M., Alves, L. F., Hinckley, E.-L. S., Parnell, J., and Schimel, D.: NEON terrestrial field observations: designing continental-scale, standardized sampling, Ecosphere, 3, art115, https://doi.org/</w:t>
        </w:r>
      </w:hyperlink>
      <w:hyperlink r:id="rId201">
        <w:r w:rsidDel="00000000" w:rsidR="00000000" w:rsidRPr="00000000">
          <w:rPr>
            <w:b w:val="0"/>
            <w:bCs w:val="0"/>
            <w:i w:val="0"/>
            <w:iCs w:val="0"/>
            <w:color w:val="1155cc"/>
            <w:sz w:val="22"/>
            <w:szCs w:val="22"/>
            <w:u w:val="single"/>
            <w:rtl w:val="0"/>
          </w:rPr>
          <w:t xml:space="preserve">10.1890/es12-00196.1</w:t>
        </w:r>
      </w:hyperlink>
      <w:hyperlink r:id="rId202">
        <w:r w:rsidDel="00000000" w:rsidR="00000000" w:rsidRPr="00000000">
          <w:rPr>
            <w:b w:val="0"/>
            <w:bCs w:val="0"/>
            <w:i w:val="0"/>
            <w:iCs w:val="0"/>
            <w:color w:val="000000"/>
            <w:sz w:val="22"/>
            <w:szCs w:val="22"/>
            <w:u w:val="none"/>
            <w:rtl w:val="0"/>
          </w:rPr>
          <w:t xml:space="preserve">, 2012.</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03">
        <w:r w:rsidDel="00000000" w:rsidR="00000000" w:rsidRPr="00000000">
          <w:rPr>
            <w:b w:val="0"/>
            <w:bCs w:val="0"/>
            <w:i w:val="0"/>
            <w:iCs w:val="0"/>
            <w:color w:val="000000"/>
            <w:sz w:val="22"/>
            <w:szCs w:val="22"/>
            <w:u w:val="none"/>
            <w:rtl w:val="0"/>
          </w:rPr>
          <w:t xml:space="preserve">Karl, T., Guenther, A., Spirig, C., Hansel, A., and Fall, R.: Seasonal variation of biogenic VOC emissions above a mixed hardwood forest in northern Michigan: BIOGENIC VOC EMISSIONS ABOVE MIXED HARDWOOD FOREST, Geophys. Res. Lett., 30, https://doi.org/</w:t>
        </w:r>
      </w:hyperlink>
      <w:hyperlink r:id="rId204">
        <w:r w:rsidDel="00000000" w:rsidR="00000000" w:rsidRPr="00000000">
          <w:rPr>
            <w:b w:val="0"/>
            <w:bCs w:val="0"/>
            <w:i w:val="0"/>
            <w:iCs w:val="0"/>
            <w:color w:val="1155cc"/>
            <w:sz w:val="22"/>
            <w:szCs w:val="22"/>
            <w:u w:val="single"/>
            <w:rtl w:val="0"/>
          </w:rPr>
          <w:t xml:space="preserve">10.1029/2003gl018432</w:t>
        </w:r>
      </w:hyperlink>
      <w:hyperlink r:id="rId205">
        <w:r w:rsidDel="00000000" w:rsidR="00000000" w:rsidRPr="00000000">
          <w:rPr>
            <w:b w:val="0"/>
            <w:bCs w:val="0"/>
            <w:i w:val="0"/>
            <w:iCs w:val="0"/>
            <w:color w:val="000000"/>
            <w:sz w:val="22"/>
            <w:szCs w:val="22"/>
            <w:u w:val="none"/>
            <w:rtl w:val="0"/>
          </w:rPr>
          <w:t xml:space="preserve">, 2003.</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06">
        <w:r w:rsidDel="00000000" w:rsidR="00000000" w:rsidRPr="00000000">
          <w:rPr>
            <w:b w:val="0"/>
            <w:bCs w:val="0"/>
            <w:i w:val="0"/>
            <w:iCs w:val="0"/>
            <w:color w:val="000000"/>
            <w:sz w:val="22"/>
            <w:szCs w:val="22"/>
            <w:u w:val="none"/>
            <w:rtl w:val="0"/>
          </w:rPr>
          <w:t xml:space="preserve">Kenion, H. C., Davis, K. J., Miles, N. L., Monteiro, V. C., Richardson, S. J., and Horne, J. P.: Estimation of urban greenhouse gas fluxes from mole fraction measurements using Monin–Obukhov similarity theory, J. Atmos. Ocean. Technol., 41, 833–846, https://doi.org/</w:t>
        </w:r>
      </w:hyperlink>
      <w:hyperlink r:id="rId207">
        <w:r w:rsidDel="00000000" w:rsidR="00000000" w:rsidRPr="00000000">
          <w:rPr>
            <w:b w:val="0"/>
            <w:bCs w:val="0"/>
            <w:i w:val="0"/>
            <w:iCs w:val="0"/>
            <w:color w:val="1155cc"/>
            <w:sz w:val="22"/>
            <w:szCs w:val="22"/>
            <w:u w:val="single"/>
            <w:rtl w:val="0"/>
          </w:rPr>
          <w:t xml:space="preserve">10.1175/jtech-d-23-0164.1</w:t>
        </w:r>
      </w:hyperlink>
      <w:hyperlink r:id="rId208">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09">
        <w:r w:rsidDel="00000000" w:rsidR="00000000" w:rsidRPr="00000000">
          <w:rPr>
            <w:b w:val="0"/>
            <w:bCs w:val="0"/>
            <w:i w:val="0"/>
            <w:iCs w:val="0"/>
            <w:color w:val="000000"/>
            <w:sz w:val="22"/>
            <w:szCs w:val="22"/>
            <w:u w:val="none"/>
            <w:rtl w:val="0"/>
          </w:rPr>
          <w:t xml:space="preserve">Landis, J. R. and Koch, G. G.: The measurement of observer agreement for categorical data, Biometrics, 33, 159–174, https://doi.org/</w:t>
        </w:r>
      </w:hyperlink>
      <w:hyperlink r:id="rId210">
        <w:r w:rsidDel="00000000" w:rsidR="00000000" w:rsidRPr="00000000">
          <w:rPr>
            <w:b w:val="0"/>
            <w:bCs w:val="0"/>
            <w:i w:val="0"/>
            <w:iCs w:val="0"/>
            <w:color w:val="1155cc"/>
            <w:sz w:val="22"/>
            <w:szCs w:val="22"/>
            <w:u w:val="single"/>
            <w:rtl w:val="0"/>
          </w:rPr>
          <w:t xml:space="preserve">10.2307/2529310</w:t>
        </w:r>
      </w:hyperlink>
      <w:hyperlink r:id="rId211">
        <w:r w:rsidDel="00000000" w:rsidR="00000000" w:rsidRPr="00000000">
          <w:rPr>
            <w:b w:val="0"/>
            <w:bCs w:val="0"/>
            <w:i w:val="0"/>
            <w:iCs w:val="0"/>
            <w:color w:val="000000"/>
            <w:sz w:val="22"/>
            <w:szCs w:val="22"/>
            <w:u w:val="none"/>
            <w:rtl w:val="0"/>
          </w:rPr>
          <w:t xml:space="preserve">, 1977.</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12">
        <w:r w:rsidDel="00000000" w:rsidR="00000000" w:rsidRPr="00000000">
          <w:rPr>
            <w:b w:val="0"/>
            <w:bCs w:val="0"/>
            <w:i w:val="0"/>
            <w:iCs w:val="0"/>
            <w:color w:val="000000"/>
            <w:sz w:val="22"/>
            <w:szCs w:val="22"/>
            <w:u w:val="none"/>
            <w:rtl w:val="0"/>
          </w:rPr>
          <w:t xml:space="preserve">LaRue, E. A., Fahey, R., Fuson, T. L., Foster, J. R., Matthes, J. H., Krause, K., and Hardiman, B. S.: Evaluating the sensitivity of forest structural diversity characterization to LiDAR point density, Ecosphere, 13, e4209, https://doi.org/</w:t>
        </w:r>
      </w:hyperlink>
      <w:hyperlink r:id="rId213">
        <w:r w:rsidDel="00000000" w:rsidR="00000000" w:rsidRPr="00000000">
          <w:rPr>
            <w:b w:val="0"/>
            <w:bCs w:val="0"/>
            <w:i w:val="0"/>
            <w:iCs w:val="0"/>
            <w:color w:val="1155cc"/>
            <w:sz w:val="22"/>
            <w:szCs w:val="22"/>
            <w:u w:val="single"/>
            <w:rtl w:val="0"/>
          </w:rPr>
          <w:t xml:space="preserve">10.1002/ecs2.4209</w:t>
        </w:r>
      </w:hyperlink>
      <w:hyperlink r:id="rId214">
        <w:r w:rsidDel="00000000" w:rsidR="00000000" w:rsidRPr="00000000">
          <w:rPr>
            <w:b w:val="0"/>
            <w:bCs w:val="0"/>
            <w:i w:val="0"/>
            <w:iCs w:val="0"/>
            <w:color w:val="000000"/>
            <w:sz w:val="22"/>
            <w:szCs w:val="22"/>
            <w:u w:val="none"/>
            <w:rtl w:val="0"/>
          </w:rPr>
          <w:t xml:space="preserve">, 2022.</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15">
        <w:r w:rsidDel="00000000" w:rsidR="00000000" w:rsidRPr="00000000">
          <w:rPr>
            <w:b w:val="0"/>
            <w:bCs w:val="0"/>
            <w:i w:val="0"/>
            <w:iCs w:val="0"/>
            <w:color w:val="000000"/>
            <w:sz w:val="22"/>
            <w:szCs w:val="22"/>
            <w:u w:val="none"/>
            <w:rtl w:val="0"/>
          </w:rPr>
          <w:t xml:space="preserve">Laubach, J., Barthel, M., Fraser, A., Hunt, J. E., and Griffith, D. W. T.: Combining two complementary micrometeorological methods to measure CH</w:t>
        </w:r>
      </w:hyperlink>
      <w:hyperlink r:id="rId216">
        <w:r w:rsidDel="00000000" w:rsidR="00000000" w:rsidRPr="00000000">
          <w:rPr>
            <w:b w:val="0"/>
            <w:bCs w:val="0"/>
            <w:i w:val="0"/>
            <w:iCs w:val="0"/>
            <w:color w:val="000000"/>
            <w:sz w:val="22"/>
            <w:szCs w:val="22"/>
            <w:u w:val="none"/>
            <w:vertAlign w:val="subscript"/>
            <w:rtl w:val="0"/>
          </w:rPr>
          <w:t xml:space="preserve">4</w:t>
        </w:r>
      </w:hyperlink>
      <w:hyperlink r:id="rId217">
        <w:r w:rsidDel="00000000" w:rsidR="00000000" w:rsidRPr="00000000">
          <w:rPr>
            <w:b w:val="0"/>
            <w:bCs w:val="0"/>
            <w:i w:val="0"/>
            <w:iCs w:val="0"/>
            <w:color w:val="000000"/>
            <w:sz w:val="22"/>
            <w:szCs w:val="22"/>
            <w:u w:val="none"/>
            <w:rtl w:val="0"/>
          </w:rPr>
          <w:t xml:space="preserve"> and N</w:t>
        </w:r>
      </w:hyperlink>
      <w:hyperlink r:id="rId218">
        <w:r w:rsidDel="00000000" w:rsidR="00000000" w:rsidRPr="00000000">
          <w:rPr>
            <w:b w:val="0"/>
            <w:bCs w:val="0"/>
            <w:i w:val="0"/>
            <w:iCs w:val="0"/>
            <w:color w:val="000000"/>
            <w:sz w:val="22"/>
            <w:szCs w:val="22"/>
            <w:u w:val="none"/>
            <w:vertAlign w:val="subscript"/>
            <w:rtl w:val="0"/>
          </w:rPr>
          <w:t xml:space="preserve">2</w:t>
        </w:r>
      </w:hyperlink>
      <w:hyperlink r:id="rId219">
        <w:r w:rsidDel="00000000" w:rsidR="00000000" w:rsidRPr="00000000">
          <w:rPr>
            <w:b w:val="0"/>
            <w:bCs w:val="0"/>
            <w:i w:val="0"/>
            <w:iCs w:val="0"/>
            <w:color w:val="000000"/>
            <w:sz w:val="22"/>
            <w:szCs w:val="22"/>
            <w:u w:val="none"/>
            <w:rtl w:val="0"/>
          </w:rPr>
          <w:t xml:space="preserve">O fluxes over pasture, Biogeosciences, 13, 1309–1327, https://doi.org/</w:t>
        </w:r>
      </w:hyperlink>
      <w:hyperlink r:id="rId220">
        <w:r w:rsidDel="00000000" w:rsidR="00000000" w:rsidRPr="00000000">
          <w:rPr>
            <w:b w:val="0"/>
            <w:bCs w:val="0"/>
            <w:i w:val="0"/>
            <w:iCs w:val="0"/>
            <w:color w:val="1155cc"/>
            <w:sz w:val="22"/>
            <w:szCs w:val="22"/>
            <w:u w:val="single"/>
            <w:rtl w:val="0"/>
          </w:rPr>
          <w:t xml:space="preserve">10.5194/bg-13-1309-2016</w:t>
        </w:r>
      </w:hyperlink>
      <w:hyperlink r:id="rId221">
        <w:r w:rsidDel="00000000" w:rsidR="00000000" w:rsidRPr="00000000">
          <w:rPr>
            <w:b w:val="0"/>
            <w:bCs w:val="0"/>
            <w:i w:val="0"/>
            <w:iCs w:val="0"/>
            <w:color w:val="000000"/>
            <w:sz w:val="22"/>
            <w:szCs w:val="22"/>
            <w:u w:val="none"/>
            <w:rtl w:val="0"/>
          </w:rPr>
          <w:t xml:space="preserve">, 2016.</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22">
        <w:r w:rsidDel="00000000" w:rsidR="00000000" w:rsidRPr="00000000">
          <w:rPr>
            <w:b w:val="0"/>
            <w:bCs w:val="0"/>
            <w:i w:val="0"/>
            <w:iCs w:val="0"/>
            <w:color w:val="000000"/>
            <w:sz w:val="22"/>
            <w:szCs w:val="22"/>
            <w:u w:val="none"/>
            <w:rtl w:val="0"/>
          </w:rPr>
          <w:t xml:space="preserve">Lee, E.-H., Lee, E., Park, R., Kwon, Y. C., and Hong, S.-Y.: Impact of turbulent mixing in the stratocumulus-topped boundary layer on numerical weather prediction, Asia Pac. J. Atmos. Sci., 54, 371–384, https://doi.org/</w:t>
        </w:r>
      </w:hyperlink>
      <w:hyperlink r:id="rId223">
        <w:r w:rsidDel="00000000" w:rsidR="00000000" w:rsidRPr="00000000">
          <w:rPr>
            <w:b w:val="0"/>
            <w:bCs w:val="0"/>
            <w:i w:val="0"/>
            <w:iCs w:val="0"/>
            <w:color w:val="1155cc"/>
            <w:sz w:val="22"/>
            <w:szCs w:val="22"/>
            <w:u w:val="single"/>
            <w:rtl w:val="0"/>
          </w:rPr>
          <w:t xml:space="preserve">10.1007/s13143-018-0024-0</w:t>
        </w:r>
      </w:hyperlink>
      <w:hyperlink r:id="rId224">
        <w:r w:rsidDel="00000000" w:rsidR="00000000" w:rsidRPr="00000000">
          <w:rPr>
            <w:b w:val="0"/>
            <w:bCs w:val="0"/>
            <w:i w:val="0"/>
            <w:iCs w:val="0"/>
            <w:color w:val="000000"/>
            <w:sz w:val="22"/>
            <w:szCs w:val="22"/>
            <w:u w:val="none"/>
            <w:rtl w:val="0"/>
          </w:rPr>
          <w:t xml:space="preserve">, 2018.</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25">
        <w:r w:rsidDel="00000000" w:rsidR="00000000" w:rsidRPr="00000000">
          <w:rPr>
            <w:b w:val="0"/>
            <w:bCs w:val="0"/>
            <w:i w:val="0"/>
            <w:iCs w:val="0"/>
            <w:color w:val="000000"/>
            <w:sz w:val="22"/>
            <w:szCs w:val="22"/>
            <w:u w:val="none"/>
            <w:rtl w:val="0"/>
          </w:rPr>
          <w:t xml:space="preserve">Liaw, A. and Wiener, M.: Classification and regression by randomForest, R news, 2, 18–22, 2002.</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26">
        <w:r w:rsidDel="00000000" w:rsidR="00000000" w:rsidRPr="00000000">
          <w:rPr>
            <w:b w:val="0"/>
            <w:bCs w:val="0"/>
            <w:i w:val="0"/>
            <w:iCs w:val="0"/>
            <w:color w:val="000000"/>
            <w:sz w:val="22"/>
            <w:szCs w:val="22"/>
            <w:u w:val="none"/>
            <w:rtl w:val="0"/>
          </w:rPr>
          <w:t xml:space="preserve">Lin, L. I.: A concordance correlation coefficient to evaluate reproducibility, Biometrics, 45, 255–268, https://doi.org/</w:t>
        </w:r>
      </w:hyperlink>
      <w:hyperlink r:id="rId227">
        <w:r w:rsidDel="00000000" w:rsidR="00000000" w:rsidRPr="00000000">
          <w:rPr>
            <w:b w:val="0"/>
            <w:bCs w:val="0"/>
            <w:i w:val="0"/>
            <w:iCs w:val="0"/>
            <w:color w:val="1155cc"/>
            <w:sz w:val="22"/>
            <w:szCs w:val="22"/>
            <w:u w:val="single"/>
            <w:rtl w:val="0"/>
          </w:rPr>
          <w:t xml:space="preserve">10.2307/2532051</w:t>
        </w:r>
      </w:hyperlink>
      <w:hyperlink r:id="rId228">
        <w:r w:rsidDel="00000000" w:rsidR="00000000" w:rsidRPr="00000000">
          <w:rPr>
            <w:b w:val="0"/>
            <w:bCs w:val="0"/>
            <w:i w:val="0"/>
            <w:iCs w:val="0"/>
            <w:color w:val="000000"/>
            <w:sz w:val="22"/>
            <w:szCs w:val="22"/>
            <w:u w:val="none"/>
            <w:rtl w:val="0"/>
          </w:rPr>
          <w:t xml:space="preserve">, 1989.</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29">
        <w:r w:rsidDel="00000000" w:rsidR="00000000" w:rsidRPr="00000000">
          <w:rPr>
            <w:b w:val="0"/>
            <w:bCs w:val="0"/>
            <w:i w:val="0"/>
            <w:iCs w:val="0"/>
            <w:color w:val="000000"/>
            <w:sz w:val="22"/>
            <w:szCs w:val="22"/>
            <w:u w:val="none"/>
            <w:rtl w:val="0"/>
          </w:rPr>
          <w:t xml:space="preserve">Maier, M. and Schack-Kirchner, H.: Using the gradient method to determine soil gas flux: A review, Agric. For. Meteorol., 192-193, 78–95, https://doi.org/</w:t>
        </w:r>
      </w:hyperlink>
      <w:hyperlink r:id="rId230">
        <w:r w:rsidDel="00000000" w:rsidR="00000000" w:rsidRPr="00000000">
          <w:rPr>
            <w:b w:val="0"/>
            <w:bCs w:val="0"/>
            <w:i w:val="0"/>
            <w:iCs w:val="0"/>
            <w:color w:val="1155cc"/>
            <w:sz w:val="22"/>
            <w:szCs w:val="22"/>
            <w:u w:val="single"/>
            <w:rtl w:val="0"/>
          </w:rPr>
          <w:t xml:space="preserve">10.1016/j.agrformet.2014.03.006</w:t>
        </w:r>
      </w:hyperlink>
      <w:hyperlink r:id="rId231">
        <w:r w:rsidDel="00000000" w:rsidR="00000000" w:rsidRPr="00000000">
          <w:rPr>
            <w:b w:val="0"/>
            <w:bCs w:val="0"/>
            <w:i w:val="0"/>
            <w:iCs w:val="0"/>
            <w:color w:val="000000"/>
            <w:sz w:val="22"/>
            <w:szCs w:val="22"/>
            <w:u w:val="none"/>
            <w:rtl w:val="0"/>
          </w:rPr>
          <w:t xml:space="preserve">, 2014.</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2">
        <w:r w:rsidDel="00000000" w:rsidR="00000000" w:rsidRPr="00000000">
          <w:rPr>
            <w:b w:val="0"/>
            <w:bCs w:val="0"/>
            <w:i w:val="0"/>
            <w:iCs w:val="0"/>
            <w:color w:val="000000"/>
            <w:sz w:val="22"/>
            <w:szCs w:val="22"/>
            <w:u w:val="none"/>
            <w:rtl w:val="0"/>
          </w:rPr>
          <w:t xml:space="preserve">Malone, S. L., Oh, Y., Arndt, K. A., Burba, G., Commane, R., Contosta, A. R., Goodrich, J. P., Loescher, H. W., Starr, G., and Varner, R. K.: Gaps in network infrastructure limit our understanding of biogenic methane emissions for the United States, Biogeosciences, 19, 2507–2522, 2022.</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3">
        <w:r w:rsidDel="00000000" w:rsidR="00000000" w:rsidRPr="00000000">
          <w:rPr>
            <w:b w:val="0"/>
            <w:bCs w:val="0"/>
            <w:i w:val="0"/>
            <w:iCs w:val="0"/>
            <w:color w:val="000000"/>
            <w:sz w:val="22"/>
            <w:szCs w:val="22"/>
            <w:u w:val="none"/>
            <w:rtl w:val="0"/>
          </w:rPr>
          <w:t xml:space="preserve">Mayer, J.-C., Bargsten, A., Rummel, U., Meixner, F. X., and Foken, T.: Distributed Modified Bowen Ratio method for surface layer fluxes of reactive and non-reactive trace gases, Agric. For. Meteorol., 151, 655–668, https://doi.org/</w:t>
        </w:r>
      </w:hyperlink>
      <w:hyperlink r:id="rId234">
        <w:r w:rsidDel="00000000" w:rsidR="00000000" w:rsidRPr="00000000">
          <w:rPr>
            <w:b w:val="0"/>
            <w:bCs w:val="0"/>
            <w:i w:val="0"/>
            <w:iCs w:val="0"/>
            <w:color w:val="1155cc"/>
            <w:sz w:val="22"/>
            <w:szCs w:val="22"/>
            <w:u w:val="single"/>
            <w:rtl w:val="0"/>
          </w:rPr>
          <w:t xml:space="preserve">10.1016/j.agrformet.2010.10.001</w:t>
        </w:r>
      </w:hyperlink>
      <w:hyperlink r:id="rId235">
        <w:r w:rsidDel="00000000" w:rsidR="00000000" w:rsidRPr="00000000">
          <w:rPr>
            <w:b w:val="0"/>
            <w:bCs w:val="0"/>
            <w:i w:val="0"/>
            <w:iCs w:val="0"/>
            <w:color w:val="000000"/>
            <w:sz w:val="22"/>
            <w:szCs w:val="22"/>
            <w:u w:val="none"/>
            <w:rtl w:val="0"/>
          </w:rPr>
          <w:t xml:space="preserve">, 2011.</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6">
        <w:r w:rsidDel="00000000" w:rsidR="00000000" w:rsidRPr="00000000">
          <w:rPr>
            <w:b w:val="0"/>
            <w:bCs w:val="0"/>
            <w:i w:val="0"/>
            <w:iCs w:val="0"/>
            <w:color w:val="000000"/>
            <w:sz w:val="22"/>
            <w:szCs w:val="22"/>
            <w:u w:val="none"/>
            <w:rtl w:val="0"/>
          </w:rPr>
          <w:t xml:space="preserve">Meredith, L. K., Commane, R., Munger, J. W., Dunn, A., Tang, J., Wofsy, S. C., and Prinn, R. G.: Ecosystem fluxes of hydrogen: a comparison of flux-gradient methods, Atmospheric Measurement Techniques, 7, 2787–2805, 2014.</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7">
        <w:r w:rsidDel="00000000" w:rsidR="00000000" w:rsidRPr="00000000">
          <w:rPr>
            <w:b w:val="0"/>
            <w:bCs w:val="0"/>
            <w:i w:val="0"/>
            <w:iCs w:val="0"/>
            <w:color w:val="000000"/>
            <w:sz w:val="22"/>
            <w:szCs w:val="22"/>
            <w:u w:val="none"/>
            <w:rtl w:val="0"/>
          </w:rPr>
          <w:t xml:space="preserve">Metzger, S., Burba, G., Burns, S. P., Blanken, P. D., Li, J., Luo, H., and Zulueta, R. C.: Optimization of an enclosed gas analyzer sampling system for measuring eddy covariance fluxes of H 2 O and CO 2, Atmospheric Measurement Techniques, 9, 1341–1359, 2016.</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38">
        <w:r w:rsidDel="00000000" w:rsidR="00000000" w:rsidRPr="00000000">
          <w:rPr>
            <w:b w:val="0"/>
            <w:bCs w:val="0"/>
            <w:i w:val="0"/>
            <w:iCs w:val="0"/>
            <w:color w:val="000000"/>
            <w:sz w:val="22"/>
            <w:szCs w:val="22"/>
            <w:u w:val="none"/>
            <w:rtl w:val="0"/>
          </w:rPr>
          <w:t xml:space="preserve">Metzger, S., Durden, D., Sturtevant, C., Luo, H., Pingintha-Durden, N., Sachs, T., Serafimovich, A., Hartmann, J., Li, J., Xu, K., and Desai, A. R.: eddy4R 0.2.0: a DevOps model for community-extensible processing and analysis of eddy-covariance data based on R, Git, Docker, and HDF5, Geosci. Model Dev., 10, 3189–3206, https://doi.org/</w:t>
        </w:r>
      </w:hyperlink>
      <w:hyperlink r:id="rId239">
        <w:r w:rsidDel="00000000" w:rsidR="00000000" w:rsidRPr="00000000">
          <w:rPr>
            <w:b w:val="0"/>
            <w:bCs w:val="0"/>
            <w:i w:val="0"/>
            <w:iCs w:val="0"/>
            <w:color w:val="1155cc"/>
            <w:sz w:val="22"/>
            <w:szCs w:val="22"/>
            <w:u w:val="single"/>
            <w:rtl w:val="0"/>
          </w:rPr>
          <w:t xml:space="preserve">10.5194/gmd-10-3189-2017</w:t>
        </w:r>
      </w:hyperlink>
      <w:hyperlink r:id="rId240">
        <w:r w:rsidDel="00000000" w:rsidR="00000000" w:rsidRPr="00000000">
          <w:rPr>
            <w:b w:val="0"/>
            <w:bCs w:val="0"/>
            <w:i w:val="0"/>
            <w:iCs w:val="0"/>
            <w:color w:val="000000"/>
            <w:sz w:val="22"/>
            <w:szCs w:val="22"/>
            <w:u w:val="none"/>
            <w:rtl w:val="0"/>
          </w:rPr>
          <w:t xml:space="preserve">, 2017.</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41">
        <w:r w:rsidDel="00000000" w:rsidR="00000000" w:rsidRPr="00000000">
          <w:rPr>
            <w:b w:val="0"/>
            <w:bCs w:val="0"/>
            <w:i w:val="0"/>
            <w:iCs w:val="0"/>
            <w:color w:val="000000"/>
            <w:sz w:val="22"/>
            <w:szCs w:val="22"/>
            <w:u w:val="none"/>
            <w:rtl w:val="0"/>
          </w:rPr>
          <w:t xml:space="preserve">Metzger, S., Ayres, E., Durden, D., Florian, C., Lee, R., Lunch, C., and Zulueta R: From NEON field sites to data portal: A community resource for surface–atmosphere research comes online, Bulletin of the American Meteorological Society, 100, 2305–2325, 2019.</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42">
        <w:r w:rsidDel="00000000" w:rsidR="00000000" w:rsidRPr="00000000">
          <w:rPr>
            <w:b w:val="0"/>
            <w:bCs w:val="0"/>
            <w:i w:val="0"/>
            <w:iCs w:val="0"/>
            <w:color w:val="000000"/>
            <w:sz w:val="22"/>
            <w:szCs w:val="22"/>
            <w:u w:val="none"/>
            <w:rtl w:val="0"/>
          </w:rPr>
          <w:t xml:space="preserve">Meyers, T. P. and Baldocchi, D. D.: Current micrometeorological flux methodologies with applications in agriculture, in: Agronomy Monographs, American Society of Agronomy, Crop Science Society of America, and Soil Science Society of America, Madison, WI, USA, 381–396, https://doi.org/</w:t>
        </w:r>
      </w:hyperlink>
      <w:hyperlink r:id="rId243">
        <w:r w:rsidDel="00000000" w:rsidR="00000000" w:rsidRPr="00000000">
          <w:rPr>
            <w:b w:val="0"/>
            <w:bCs w:val="0"/>
            <w:i w:val="0"/>
            <w:iCs w:val="0"/>
            <w:color w:val="1155cc"/>
            <w:sz w:val="22"/>
            <w:szCs w:val="22"/>
            <w:u w:val="single"/>
            <w:rtl w:val="0"/>
          </w:rPr>
          <w:t xml:space="preserve">10.2134/agronmonogr47.c16</w:t>
        </w:r>
      </w:hyperlink>
      <w:hyperlink r:id="rId244">
        <w:r w:rsidDel="00000000" w:rsidR="00000000" w:rsidRPr="00000000">
          <w:rPr>
            <w:b w:val="0"/>
            <w:bCs w:val="0"/>
            <w:i w:val="0"/>
            <w:iCs w:val="0"/>
            <w:color w:val="000000"/>
            <w:sz w:val="22"/>
            <w:szCs w:val="22"/>
            <w:u w:val="none"/>
            <w:rtl w:val="0"/>
          </w:rPr>
          <w:t xml:space="preserve">, 2015.</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45">
        <w:r w:rsidDel="00000000" w:rsidR="00000000" w:rsidRPr="00000000">
          <w:rPr>
            <w:b w:val="0"/>
            <w:bCs w:val="0"/>
            <w:i w:val="0"/>
            <w:iCs w:val="0"/>
            <w:color w:val="000000"/>
            <w:sz w:val="22"/>
            <w:szCs w:val="22"/>
            <w:u w:val="none"/>
            <w:rtl w:val="0"/>
          </w:rPr>
          <w:t xml:space="preserve">Meyers, T. P., Hall, M. E., Lindberg, S. E., and Kim, K.: Use of the modified bowen-ratio technique to measure fluxes of trace gases, Atmos. Environ., 30, 3321–3329, https://doi.org/</w:t>
        </w:r>
      </w:hyperlink>
      <w:hyperlink r:id="rId246">
        <w:r w:rsidDel="00000000" w:rsidR="00000000" w:rsidRPr="00000000">
          <w:rPr>
            <w:b w:val="0"/>
            <w:bCs w:val="0"/>
            <w:i w:val="0"/>
            <w:iCs w:val="0"/>
            <w:color w:val="1155cc"/>
            <w:sz w:val="22"/>
            <w:szCs w:val="22"/>
            <w:u w:val="single"/>
            <w:rtl w:val="0"/>
          </w:rPr>
          <w:t xml:space="preserve">10.1016/1352-2310(96)00082-9</w:t>
        </w:r>
      </w:hyperlink>
      <w:hyperlink r:id="rId247">
        <w:r w:rsidDel="00000000" w:rsidR="00000000" w:rsidRPr="00000000">
          <w:rPr>
            <w:b w:val="0"/>
            <w:bCs w:val="0"/>
            <w:i w:val="0"/>
            <w:iCs w:val="0"/>
            <w:color w:val="000000"/>
            <w:sz w:val="22"/>
            <w:szCs w:val="22"/>
            <w:u w:val="none"/>
            <w:rtl w:val="0"/>
          </w:rPr>
          <w:t xml:space="preserve">, 1996.</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48">
        <w:r w:rsidDel="00000000" w:rsidR="00000000" w:rsidRPr="00000000">
          <w:rPr>
            <w:b w:val="0"/>
            <w:bCs w:val="0"/>
            <w:i w:val="0"/>
            <w:iCs w:val="0"/>
            <w:color w:val="000000"/>
            <w:sz w:val="22"/>
            <w:szCs w:val="22"/>
            <w:u w:val="none"/>
            <w:rtl w:val="0"/>
          </w:rPr>
          <w:t xml:space="preserve">Miyata, A., Leuning, R., Denmead, O. T., Kim, J., and Harazono, Y.: Carbon dioxide and methane fluxes from an intermittently flooded paddy field, Agric. For. Meteorol., 102, 287–303, https://doi.org/</w:t>
        </w:r>
      </w:hyperlink>
      <w:hyperlink r:id="rId249">
        <w:r w:rsidDel="00000000" w:rsidR="00000000" w:rsidRPr="00000000">
          <w:rPr>
            <w:b w:val="0"/>
            <w:bCs w:val="0"/>
            <w:i w:val="0"/>
            <w:iCs w:val="0"/>
            <w:color w:val="1155cc"/>
            <w:sz w:val="22"/>
            <w:szCs w:val="22"/>
            <w:u w:val="single"/>
            <w:rtl w:val="0"/>
          </w:rPr>
          <w:t xml:space="preserve">10.1016/s0168-1923(00)00092-7</w:t>
        </w:r>
      </w:hyperlink>
      <w:hyperlink r:id="rId250">
        <w:r w:rsidDel="00000000" w:rsidR="00000000" w:rsidRPr="00000000">
          <w:rPr>
            <w:b w:val="0"/>
            <w:bCs w:val="0"/>
            <w:i w:val="0"/>
            <w:iCs w:val="0"/>
            <w:color w:val="000000"/>
            <w:sz w:val="22"/>
            <w:szCs w:val="22"/>
            <w:u w:val="none"/>
            <w:rtl w:val="0"/>
          </w:rPr>
          <w:t xml:space="preserve">, 2000.</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51">
        <w:r w:rsidDel="00000000" w:rsidR="00000000" w:rsidRPr="00000000">
          <w:rPr>
            <w:b w:val="0"/>
            <w:bCs w:val="0"/>
            <w:i w:val="0"/>
            <w:iCs w:val="0"/>
            <w:color w:val="000000"/>
            <w:sz w:val="22"/>
            <w:szCs w:val="22"/>
            <w:u w:val="none"/>
            <w:rtl w:val="0"/>
          </w:rPr>
          <w:t xml:space="preserve">Mölder, M., Grelle, A., Lindroth, A., and Halldin, S.: Flux-profile relationships over a boreal forest — roughness sublayer corrections, Agric. For. Meteorol., 98-99, 645–658, https://doi.org/</w:t>
        </w:r>
      </w:hyperlink>
      <w:hyperlink r:id="rId252">
        <w:r w:rsidDel="00000000" w:rsidR="00000000" w:rsidRPr="00000000">
          <w:rPr>
            <w:b w:val="0"/>
            <w:bCs w:val="0"/>
            <w:i w:val="0"/>
            <w:iCs w:val="0"/>
            <w:color w:val="1155cc"/>
            <w:sz w:val="22"/>
            <w:szCs w:val="22"/>
            <w:u w:val="single"/>
            <w:rtl w:val="0"/>
          </w:rPr>
          <w:t xml:space="preserve">10.1016/s0168-1923(99)00131-8</w:t>
        </w:r>
      </w:hyperlink>
      <w:hyperlink r:id="rId253">
        <w:r w:rsidDel="00000000" w:rsidR="00000000" w:rsidRPr="00000000">
          <w:rPr>
            <w:b w:val="0"/>
            <w:bCs w:val="0"/>
            <w:i w:val="0"/>
            <w:iCs w:val="0"/>
            <w:color w:val="000000"/>
            <w:sz w:val="22"/>
            <w:szCs w:val="22"/>
            <w:u w:val="none"/>
            <w:rtl w:val="0"/>
          </w:rPr>
          <w:t xml:space="preserve">, 1999.</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54">
        <w:r w:rsidDel="00000000" w:rsidR="00000000" w:rsidRPr="00000000">
          <w:rPr>
            <w:b w:val="0"/>
            <w:bCs w:val="0"/>
            <w:i w:val="0"/>
            <w:iCs w:val="0"/>
            <w:color w:val="000000"/>
            <w:sz w:val="22"/>
            <w:szCs w:val="22"/>
            <w:u w:val="none"/>
            <w:rtl w:val="0"/>
          </w:rPr>
          <w:t xml:space="preserve">Moncrieff, J. B., Massheder, J. M., de Bruin, H., Elbers, J., Friborg, T., Heusinkveld, B., Kabat, P., Scott, S., Soegaard, H., and Verhoef, A.: A system to measure surface fluxes of momentum, sensible heat, water vapour and carbon dioxide, J. Hydrol., 188-189, 589–611, https://doi.org/</w:t>
        </w:r>
      </w:hyperlink>
      <w:hyperlink r:id="rId255">
        <w:r w:rsidDel="00000000" w:rsidR="00000000" w:rsidRPr="00000000">
          <w:rPr>
            <w:b w:val="0"/>
            <w:bCs w:val="0"/>
            <w:i w:val="0"/>
            <w:iCs w:val="0"/>
            <w:color w:val="1155cc"/>
            <w:sz w:val="22"/>
            <w:szCs w:val="22"/>
            <w:u w:val="single"/>
            <w:rtl w:val="0"/>
          </w:rPr>
          <w:t xml:space="preserve">10.1016/S0022-1694(96)03194-0</w:t>
        </w:r>
      </w:hyperlink>
      <w:hyperlink r:id="rId256">
        <w:r w:rsidDel="00000000" w:rsidR="00000000" w:rsidRPr="00000000">
          <w:rPr>
            <w:b w:val="0"/>
            <w:bCs w:val="0"/>
            <w:i w:val="0"/>
            <w:iCs w:val="0"/>
            <w:color w:val="000000"/>
            <w:sz w:val="22"/>
            <w:szCs w:val="22"/>
            <w:u w:val="none"/>
            <w:rtl w:val="0"/>
          </w:rPr>
          <w:t xml:space="preserve">, 1997.</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57">
        <w:r w:rsidDel="00000000" w:rsidR="00000000" w:rsidRPr="00000000">
          <w:rPr>
            <w:b w:val="0"/>
            <w:bCs w:val="0"/>
            <w:i w:val="0"/>
            <w:iCs w:val="0"/>
            <w:color w:val="000000"/>
            <w:sz w:val="22"/>
            <w:szCs w:val="22"/>
            <w:u w:val="none"/>
            <w:rtl w:val="0"/>
          </w:rPr>
          <w:t xml:space="preserve">Monteith, J. and Unsworth, M.: Principles of environmental physics: plants, animals, and the atmosphere, 2013.</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58">
        <w:r w:rsidDel="00000000" w:rsidR="00000000" w:rsidRPr="00000000">
          <w:rPr>
            <w:b w:val="0"/>
            <w:bCs w:val="0"/>
            <w:i w:val="0"/>
            <w:iCs w:val="0"/>
            <w:color w:val="000000"/>
            <w:sz w:val="22"/>
            <w:szCs w:val="22"/>
            <w:u w:val="none"/>
            <w:rtl w:val="0"/>
          </w:rPr>
          <w:t xml:space="preserve">Nelson, A. J., Lichiheb, N., Koloutsou-Vakakis, S., Rood, M. J., Heuer, M., Myles, L., Joo, E., Miller, J., and Bernacchi, C.: Ammonia flux measurements above a corn canopy using relaxed eddy accumulation and a flux gradient system, Agric. For. Meteorol., 264, 104–113, https://doi.org/</w:t>
        </w:r>
      </w:hyperlink>
      <w:hyperlink r:id="rId259">
        <w:r w:rsidDel="00000000" w:rsidR="00000000" w:rsidRPr="00000000">
          <w:rPr>
            <w:b w:val="0"/>
            <w:bCs w:val="0"/>
            <w:i w:val="0"/>
            <w:iCs w:val="0"/>
            <w:color w:val="1155cc"/>
            <w:sz w:val="22"/>
            <w:szCs w:val="22"/>
            <w:u w:val="single"/>
            <w:rtl w:val="0"/>
          </w:rPr>
          <w:t xml:space="preserve">10.1016/j.agrformet.2018.10.003</w:t>
        </w:r>
      </w:hyperlink>
      <w:hyperlink r:id="rId260">
        <w:r w:rsidDel="00000000" w:rsidR="00000000" w:rsidRPr="00000000">
          <w:rPr>
            <w:b w:val="0"/>
            <w:bCs w:val="0"/>
            <w:i w:val="0"/>
            <w:iCs w:val="0"/>
            <w:color w:val="000000"/>
            <w:sz w:val="22"/>
            <w:szCs w:val="22"/>
            <w:u w:val="none"/>
            <w:rtl w:val="0"/>
          </w:rPr>
          <w:t xml:space="preserve">, 2019.</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1">
        <w:r w:rsidDel="00000000" w:rsidR="00000000" w:rsidRPr="00000000">
          <w:rPr>
            <w:b w:val="0"/>
            <w:bCs w:val="0"/>
            <w:i w:val="0"/>
            <w:iCs w:val="0"/>
            <w:color w:val="000000"/>
            <w:sz w:val="22"/>
            <w:szCs w:val="22"/>
            <w:u w:val="none"/>
            <w:rtl w:val="0"/>
          </w:rPr>
          <w:t xml:space="preserve">NEON: 2D wind speed and direction (DP1.00001.001), 2025a.</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2">
        <w:r w:rsidDel="00000000" w:rsidR="00000000" w:rsidRPr="00000000">
          <w:rPr>
            <w:b w:val="0"/>
            <w:bCs w:val="0"/>
            <w:i w:val="0"/>
            <w:iCs w:val="0"/>
            <w:color w:val="000000"/>
            <w:sz w:val="22"/>
            <w:szCs w:val="22"/>
            <w:u w:val="none"/>
            <w:rtl w:val="0"/>
          </w:rPr>
          <w:t xml:space="preserve">NEON: Bundled data products - eddy covariance (DP4.00200.001), 2025b.</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3">
        <w:r w:rsidDel="00000000" w:rsidR="00000000" w:rsidRPr="00000000">
          <w:rPr>
            <w:b w:val="0"/>
            <w:bCs w:val="0"/>
            <w:i w:val="0"/>
            <w:iCs w:val="0"/>
            <w:color w:val="000000"/>
            <w:sz w:val="22"/>
            <w:szCs w:val="22"/>
            <w:u w:val="none"/>
            <w:rtl w:val="0"/>
          </w:rPr>
          <w:t xml:space="preserve">NEON: Ecosystem structure (DP3.30015.001), 2025c.</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4">
        <w:r w:rsidDel="00000000" w:rsidR="00000000" w:rsidRPr="00000000">
          <w:rPr>
            <w:b w:val="0"/>
            <w:bCs w:val="0"/>
            <w:i w:val="0"/>
            <w:iCs w:val="0"/>
            <w:color w:val="000000"/>
            <w:sz w:val="22"/>
            <w:szCs w:val="22"/>
            <w:u w:val="none"/>
            <w:rtl w:val="0"/>
          </w:rPr>
          <w:t xml:space="preserve">NEON: Elevation - LiDAR (DP3.30024.001), 2025d.</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5">
        <w:r w:rsidDel="00000000" w:rsidR="00000000" w:rsidRPr="00000000">
          <w:rPr>
            <w:b w:val="0"/>
            <w:bCs w:val="0"/>
            <w:i w:val="0"/>
            <w:iCs w:val="0"/>
            <w:color w:val="000000"/>
            <w:sz w:val="22"/>
            <w:szCs w:val="22"/>
            <w:u w:val="none"/>
            <w:rtl w:val="0"/>
          </w:rPr>
          <w:t xml:space="preserve">NEON: LAI - spectrometer - mosaic (DP3.30012.001), 2025e.</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6">
        <w:r w:rsidDel="00000000" w:rsidR="00000000" w:rsidRPr="00000000">
          <w:rPr>
            <w:b w:val="0"/>
            <w:bCs w:val="0"/>
            <w:i w:val="0"/>
            <w:iCs w:val="0"/>
            <w:color w:val="000000"/>
            <w:sz w:val="22"/>
            <w:szCs w:val="22"/>
            <w:u w:val="none"/>
            <w:rtl w:val="0"/>
          </w:rPr>
          <w:t xml:space="preserve">NEON: Photosynthetically active radiation (PAR) (DP1.00024.001), 2025f.</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7">
        <w:r w:rsidDel="00000000" w:rsidR="00000000" w:rsidRPr="00000000">
          <w:rPr>
            <w:b w:val="0"/>
            <w:bCs w:val="0"/>
            <w:i w:val="0"/>
            <w:iCs w:val="0"/>
            <w:color w:val="000000"/>
            <w:sz w:val="22"/>
            <w:szCs w:val="22"/>
            <w:u w:val="none"/>
            <w:rtl w:val="0"/>
          </w:rPr>
          <w:t xml:space="preserve">NEON: Relative humidity (DP1.00098.001), 2025g.</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8">
        <w:r w:rsidDel="00000000" w:rsidR="00000000" w:rsidRPr="00000000">
          <w:rPr>
            <w:b w:val="0"/>
            <w:bCs w:val="0"/>
            <w:i w:val="0"/>
            <w:iCs w:val="0"/>
            <w:color w:val="000000"/>
            <w:sz w:val="22"/>
            <w:szCs w:val="22"/>
            <w:u w:val="none"/>
            <w:rtl w:val="0"/>
          </w:rPr>
          <w:t xml:space="preserve">NEON: Vegetation indices - spectrometer - mosaic (DP3.30026.001), 2025h.</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69">
        <w:r w:rsidDel="00000000" w:rsidR="00000000" w:rsidRPr="00000000">
          <w:rPr>
            <w:b w:val="0"/>
            <w:bCs w:val="0"/>
            <w:i w:val="0"/>
            <w:iCs w:val="0"/>
            <w:color w:val="000000"/>
            <w:sz w:val="22"/>
            <w:szCs w:val="22"/>
            <w:u w:val="none"/>
            <w:rtl w:val="0"/>
          </w:rPr>
          <w:t xml:space="preserve">Obrist, D., Roy, E. M., Harrison, J. L., Kwong, C. F., Munger, J. W., Moosmüller, H., Romero, C. D., Sun, S., Zhou, J., and Commane, R.: Previously unaccounted atmospheric mercury deposition in a midlatitude deciduous forest, Proc. Natl. Acad. Sci. U. S. A., 118, e2105477118, https://doi.org/</w:t>
        </w:r>
      </w:hyperlink>
      <w:hyperlink r:id="rId270">
        <w:r w:rsidDel="00000000" w:rsidR="00000000" w:rsidRPr="00000000">
          <w:rPr>
            <w:b w:val="0"/>
            <w:bCs w:val="0"/>
            <w:i w:val="0"/>
            <w:iCs w:val="0"/>
            <w:color w:val="1155cc"/>
            <w:sz w:val="22"/>
            <w:szCs w:val="22"/>
            <w:u w:val="single"/>
            <w:rtl w:val="0"/>
          </w:rPr>
          <w:t xml:space="preserve">10.1073/pnas.2105477118</w:t>
        </w:r>
      </w:hyperlink>
      <w:hyperlink r:id="rId271">
        <w:r w:rsidDel="00000000" w:rsidR="00000000" w:rsidRPr="00000000">
          <w:rPr>
            <w:b w:val="0"/>
            <w:bCs w:val="0"/>
            <w:i w:val="0"/>
            <w:iCs w:val="0"/>
            <w:color w:val="000000"/>
            <w:sz w:val="22"/>
            <w:szCs w:val="22"/>
            <w:u w:val="none"/>
            <w:rtl w:val="0"/>
          </w:rPr>
          <w:t xml:space="preserve">, 2021.</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72">
        <w:r w:rsidDel="00000000" w:rsidR="00000000" w:rsidRPr="00000000">
          <w:rPr>
            <w:b w:val="0"/>
            <w:bCs w:val="0"/>
            <w:i w:val="0"/>
            <w:iCs w:val="0"/>
            <w:color w:val="000000"/>
            <w:sz w:val="22"/>
            <w:szCs w:val="22"/>
            <w:u w:val="none"/>
            <w:rtl w:val="0"/>
          </w:rPr>
          <w:t xml:space="preserve">Okoye, K. and Hosseini, S.: Mann–Whitney U test and kruskal–Wallis H test statistics in R, in: R Programming, Springer Nature Singapore, Singapore, 225–246, https://doi.org/</w:t>
        </w:r>
      </w:hyperlink>
      <w:hyperlink r:id="rId273">
        <w:r w:rsidDel="00000000" w:rsidR="00000000" w:rsidRPr="00000000">
          <w:rPr>
            <w:b w:val="0"/>
            <w:bCs w:val="0"/>
            <w:i w:val="0"/>
            <w:iCs w:val="0"/>
            <w:color w:val="1155cc"/>
            <w:sz w:val="22"/>
            <w:szCs w:val="22"/>
            <w:u w:val="single"/>
            <w:rtl w:val="0"/>
          </w:rPr>
          <w:t xml:space="preserve">10.1007/978-981-97-3385-9_11</w:t>
        </w:r>
      </w:hyperlink>
      <w:hyperlink r:id="rId274">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75">
        <w:r w:rsidDel="00000000" w:rsidR="00000000" w:rsidRPr="00000000">
          <w:rPr>
            <w:b w:val="0"/>
            <w:bCs w:val="0"/>
            <w:i w:val="0"/>
            <w:iCs w:val="0"/>
            <w:color w:val="000000"/>
            <w:sz w:val="22"/>
            <w:szCs w:val="22"/>
            <w:u w:val="none"/>
            <w:rtl w:val="0"/>
          </w:rPr>
          <w:t xml:space="preserve">Ostertagova, E., Ostertag, O., and Kováč, J.: Methodology and application of the Kruskal-Wallis test, Applied mechanics and materials, 611, 115–120, 2014.</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76">
        <w:r w:rsidDel="00000000" w:rsidR="00000000" w:rsidRPr="00000000">
          <w:rPr>
            <w:b w:val="0"/>
            <w:bCs w:val="0"/>
            <w:i w:val="0"/>
            <w:iCs w:val="0"/>
            <w:color w:val="000000"/>
            <w:sz w:val="22"/>
            <w:szCs w:val="22"/>
            <w:u w:val="none"/>
            <w:rtl w:val="0"/>
          </w:rPr>
          <w:t xml:space="preserve">Raupach, M. R.: Anomalies in flux-gradient relationships over forest, Boundary Layer Meteorol., 16, 467–486, https://doi.org/</w:t>
        </w:r>
      </w:hyperlink>
      <w:hyperlink r:id="rId277">
        <w:r w:rsidDel="00000000" w:rsidR="00000000" w:rsidRPr="00000000">
          <w:rPr>
            <w:b w:val="0"/>
            <w:bCs w:val="0"/>
            <w:i w:val="0"/>
            <w:iCs w:val="0"/>
            <w:color w:val="1155cc"/>
            <w:sz w:val="22"/>
            <w:szCs w:val="22"/>
            <w:u w:val="single"/>
            <w:rtl w:val="0"/>
          </w:rPr>
          <w:t xml:space="preserve">10.1007/bf03163564</w:t>
        </w:r>
      </w:hyperlink>
      <w:hyperlink r:id="rId278">
        <w:r w:rsidDel="00000000" w:rsidR="00000000" w:rsidRPr="00000000">
          <w:rPr>
            <w:b w:val="0"/>
            <w:bCs w:val="0"/>
            <w:i w:val="0"/>
            <w:iCs w:val="0"/>
            <w:color w:val="000000"/>
            <w:sz w:val="22"/>
            <w:szCs w:val="22"/>
            <w:u w:val="none"/>
            <w:rtl w:val="0"/>
          </w:rPr>
          <w:t xml:space="preserve">, 1979.</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79">
        <w:r w:rsidDel="00000000" w:rsidR="00000000" w:rsidRPr="00000000">
          <w:rPr>
            <w:b w:val="0"/>
            <w:bCs w:val="0"/>
            <w:i w:val="0"/>
            <w:iCs w:val="0"/>
            <w:color w:val="000000"/>
            <w:sz w:val="22"/>
            <w:szCs w:val="22"/>
            <w:u w:val="none"/>
            <w:rtl w:val="0"/>
          </w:rPr>
          <w:t xml:space="preserve">Raupach, M. R. and Legg, B. J.: The uses and limitations of flux-gradient relationships in micrometeorology, Agric. Water Manag., 8, 119–131, https://doi.org/</w:t>
        </w:r>
      </w:hyperlink>
      <w:hyperlink r:id="rId280">
        <w:r w:rsidDel="00000000" w:rsidR="00000000" w:rsidRPr="00000000">
          <w:rPr>
            <w:b w:val="0"/>
            <w:bCs w:val="0"/>
            <w:i w:val="0"/>
            <w:iCs w:val="0"/>
            <w:color w:val="1155cc"/>
            <w:sz w:val="22"/>
            <w:szCs w:val="22"/>
            <w:u w:val="single"/>
            <w:rtl w:val="0"/>
          </w:rPr>
          <w:t xml:space="preserve">10.1016/0378-3774(84)90049-0</w:t>
        </w:r>
      </w:hyperlink>
      <w:hyperlink r:id="rId281">
        <w:r w:rsidDel="00000000" w:rsidR="00000000" w:rsidRPr="00000000">
          <w:rPr>
            <w:b w:val="0"/>
            <w:bCs w:val="0"/>
            <w:i w:val="0"/>
            <w:iCs w:val="0"/>
            <w:color w:val="000000"/>
            <w:sz w:val="22"/>
            <w:szCs w:val="22"/>
            <w:u w:val="none"/>
            <w:rtl w:val="0"/>
          </w:rPr>
          <w:t xml:space="preserve">, 1984.</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82">
        <w:r w:rsidDel="00000000" w:rsidR="00000000" w:rsidRPr="00000000">
          <w:rPr>
            <w:b w:val="0"/>
            <w:bCs w:val="0"/>
            <w:i w:val="0"/>
            <w:iCs w:val="0"/>
            <w:color w:val="000000"/>
            <w:sz w:val="22"/>
            <w:szCs w:val="22"/>
            <w:u w:val="none"/>
            <w:rtl w:val="0"/>
          </w:rPr>
          <w:t xml:space="preserve">Raupach, M. R. and Thom, A. S.: Turbulence in and above Plant Canopies, Annu. Rev. Fluid Mech., 13, 97–129, https://doi.org/</w:t>
        </w:r>
      </w:hyperlink>
      <w:hyperlink r:id="rId283">
        <w:r w:rsidDel="00000000" w:rsidR="00000000" w:rsidRPr="00000000">
          <w:rPr>
            <w:b w:val="0"/>
            <w:bCs w:val="0"/>
            <w:i w:val="0"/>
            <w:iCs w:val="0"/>
            <w:color w:val="1155cc"/>
            <w:sz w:val="22"/>
            <w:szCs w:val="22"/>
            <w:u w:val="single"/>
            <w:rtl w:val="0"/>
          </w:rPr>
          <w:t xml:space="preserve">10.1146/annurev.fl.13.010181.000525</w:t>
        </w:r>
      </w:hyperlink>
      <w:hyperlink r:id="rId284">
        <w:r w:rsidDel="00000000" w:rsidR="00000000" w:rsidRPr="00000000">
          <w:rPr>
            <w:b w:val="0"/>
            <w:bCs w:val="0"/>
            <w:i w:val="0"/>
            <w:iCs w:val="0"/>
            <w:color w:val="000000"/>
            <w:sz w:val="22"/>
            <w:szCs w:val="22"/>
            <w:u w:val="none"/>
            <w:rtl w:val="0"/>
          </w:rPr>
          <w:t xml:space="preserve">, 1981.</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85">
        <w:r w:rsidDel="00000000" w:rsidR="00000000" w:rsidRPr="00000000">
          <w:rPr>
            <w:b w:val="0"/>
            <w:bCs w:val="0"/>
            <w:i w:val="0"/>
            <w:iCs w:val="0"/>
            <w:color w:val="000000"/>
            <w:sz w:val="22"/>
            <w:szCs w:val="22"/>
            <w:u w:val="none"/>
            <w:rtl w:val="0"/>
          </w:rPr>
          <w:t xml:space="preserve">R Core Team: R: A Language and Environment for Statistical Computing, 2021.</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86">
        <w:r w:rsidDel="00000000" w:rsidR="00000000" w:rsidRPr="00000000">
          <w:rPr>
            <w:b w:val="0"/>
            <w:bCs w:val="0"/>
            <w:i w:val="0"/>
            <w:iCs w:val="0"/>
            <w:color w:val="000000"/>
            <w:sz w:val="22"/>
            <w:szCs w:val="22"/>
            <w:u w:val="none"/>
            <w:rtl w:val="0"/>
          </w:rPr>
          <w:t xml:space="preserve">Rebmann, C., Kolle, O., Heinesch, B., Queck, R., Ibrom, A., and Aubinet, M.: Data Acquisition and Flux Calculations, in: Eddy Covariance, Springer Netherlands, Dordrecht, 59–83, https://doi.org/</w:t>
        </w:r>
      </w:hyperlink>
      <w:hyperlink r:id="rId287">
        <w:r w:rsidDel="00000000" w:rsidR="00000000" w:rsidRPr="00000000">
          <w:rPr>
            <w:b w:val="0"/>
            <w:bCs w:val="0"/>
            <w:i w:val="0"/>
            <w:iCs w:val="0"/>
            <w:color w:val="1155cc"/>
            <w:sz w:val="22"/>
            <w:szCs w:val="22"/>
            <w:u w:val="single"/>
            <w:rtl w:val="0"/>
          </w:rPr>
          <w:t xml:space="preserve">10.1007/978-94-007-2351-1_3</w:t>
        </w:r>
      </w:hyperlink>
      <w:hyperlink r:id="rId288">
        <w:r w:rsidDel="00000000" w:rsidR="00000000" w:rsidRPr="00000000">
          <w:rPr>
            <w:b w:val="0"/>
            <w:bCs w:val="0"/>
            <w:i w:val="0"/>
            <w:iCs w:val="0"/>
            <w:color w:val="000000"/>
            <w:sz w:val="22"/>
            <w:szCs w:val="22"/>
            <w:u w:val="none"/>
            <w:rtl w:val="0"/>
          </w:rPr>
          <w:t xml:space="preserve">, 2012.</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89">
        <w:r w:rsidDel="00000000" w:rsidR="00000000" w:rsidRPr="00000000">
          <w:rPr>
            <w:b w:val="0"/>
            <w:bCs w:val="0"/>
            <w:i w:val="0"/>
            <w:iCs w:val="0"/>
            <w:color w:val="000000"/>
            <w:sz w:val="22"/>
            <w:szCs w:val="22"/>
            <w:u w:val="none"/>
            <w:rtl w:val="0"/>
          </w:rPr>
          <w:t xml:space="preserve">Reed, D. E., Chu, H., Peter, B. G., Chen, J., Abraha, M., Amiro, B., Anderson, R. G., Arain, M. A., Arruda, P., Barron-Gafford, G. A., Bernacchi, C., Beverly, D. P., Biraud, S. C., Black, T. A., Blanken, P. D., Bohrer, G., Bowler, R., Bowling, D. R., Bret-Harte, M. S., Bretfeld, M., Brunsell, N. A., Bullock, S. H., Celis, G., Chen, X., Classen, A. T., Cook, D. R., Cueva, A., Dalmagro, H. J., Davis, K., Desai, A., Duff, A. J., Dunn, A. L., Durden, D., Edgar, C. W., Euskirchen, E., Bracho, R., Ewers, B., Flanagan, L. B., Florian, C., Foord, V., Forbrich, I., Forsythe, B. R., Frank, J., Garatuza-Payan, J., Goslee, S., Gough, C., Green, M., Griffis, T., Helbig, M., Hill, A. C., Hinkle, R., Horne, J., Humphreys, E., Ikawa, H., Iwahana, G., Jassal, R., Johnson, B., Johnson, M., Kannenberg, S. A., Kelsey, E., King, J., Knowles, J. F., Knox, S., Kobayashi, H., Kolb, T., Kolka, R., Krauss, K. W., Kutzbach, L., Lamb, B., Law, B., Lee, S.-C., Lee, X., Liu, H., Loescher, H. W., Malone, S. L., Matamala, R., Mauritz, M., Metzger, S., Meyer, G., Mitra, B., Munger, J. W., Nesic, Z., Noormets, A., O’Halloran, T. L., O’Keeffe, P. T., Oberbauer, S. F., Oechel, W., Oikawa, P., Olivas, P. C., Ouimette, A., Pastorello, G., Perez-Quezada, J. F., Phillips, C., Posse, G., Qu, B., Quinton, W. L., Reba, M. L., Richardson, A. D., Picasso, V., et al.: Network of networks: Time series clustering of AmeriFlux sites, Agric. For. Meteorol., 372, 110686, https://doi.org/</w:t>
        </w:r>
      </w:hyperlink>
      <w:hyperlink r:id="rId290">
        <w:r w:rsidDel="00000000" w:rsidR="00000000" w:rsidRPr="00000000">
          <w:rPr>
            <w:b w:val="0"/>
            <w:bCs w:val="0"/>
            <w:i w:val="0"/>
            <w:iCs w:val="0"/>
            <w:color w:val="1155cc"/>
            <w:sz w:val="22"/>
            <w:szCs w:val="22"/>
            <w:u w:val="single"/>
            <w:rtl w:val="0"/>
          </w:rPr>
          <w:t xml:space="preserve">10.1016/j.agrformet.2025.110686</w:t>
        </w:r>
      </w:hyperlink>
      <w:hyperlink r:id="rId291">
        <w:r w:rsidDel="00000000" w:rsidR="00000000" w:rsidRPr="00000000">
          <w:rPr>
            <w:b w:val="0"/>
            <w:bCs w:val="0"/>
            <w:i w:val="0"/>
            <w:iCs w:val="0"/>
            <w:color w:val="000000"/>
            <w:sz w:val="22"/>
            <w:szCs w:val="22"/>
            <w:u w:val="none"/>
            <w:rtl w:val="0"/>
          </w:rPr>
          <w:t xml:space="preserve">, 2025.</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92">
        <w:r w:rsidDel="00000000" w:rsidR="00000000" w:rsidRPr="00000000">
          <w:rPr>
            <w:b w:val="0"/>
            <w:bCs w:val="0"/>
            <w:i w:val="0"/>
            <w:iCs w:val="0"/>
            <w:color w:val="000000"/>
            <w:sz w:val="22"/>
            <w:szCs w:val="22"/>
            <w:u w:val="none"/>
            <w:rtl w:val="0"/>
          </w:rPr>
          <w:t xml:space="preserve">Schotanus, P., Nieuwstadt, F. T. M., and De Bruin, H. A. R.: Temperature measurement with a sonic anemometer and its application to heat and moisture fluxes, Boundary Layer Meteorol., 26, 81–93, https://doi.org/</w:t>
        </w:r>
      </w:hyperlink>
      <w:hyperlink r:id="rId293">
        <w:r w:rsidDel="00000000" w:rsidR="00000000" w:rsidRPr="00000000">
          <w:rPr>
            <w:b w:val="0"/>
            <w:bCs w:val="0"/>
            <w:i w:val="0"/>
            <w:iCs w:val="0"/>
            <w:color w:val="1155cc"/>
            <w:sz w:val="22"/>
            <w:szCs w:val="22"/>
            <w:u w:val="single"/>
            <w:rtl w:val="0"/>
          </w:rPr>
          <w:t xml:space="preserve">10.1007/bf00164332</w:t>
        </w:r>
      </w:hyperlink>
      <w:hyperlink r:id="rId294">
        <w:r w:rsidDel="00000000" w:rsidR="00000000" w:rsidRPr="00000000">
          <w:rPr>
            <w:b w:val="0"/>
            <w:bCs w:val="0"/>
            <w:i w:val="0"/>
            <w:iCs w:val="0"/>
            <w:color w:val="000000"/>
            <w:sz w:val="22"/>
            <w:szCs w:val="22"/>
            <w:u w:val="none"/>
            <w:rtl w:val="0"/>
          </w:rPr>
          <w:t xml:space="preserve">, 1983.</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95">
        <w:r w:rsidDel="00000000" w:rsidR="00000000" w:rsidRPr="00000000">
          <w:rPr>
            <w:b w:val="0"/>
            <w:bCs w:val="0"/>
            <w:i w:val="0"/>
            <w:iCs w:val="0"/>
            <w:color w:val="000000"/>
            <w:sz w:val="22"/>
            <w:szCs w:val="22"/>
            <w:u w:val="none"/>
            <w:rtl w:val="0"/>
          </w:rPr>
          <w:t xml:space="preserve">Shaw, R.: Secondary wind speed Maxima inside plant canopies, Journal of Applied Meteorology, 16, 514–521, https://doi.org/</w:t>
        </w:r>
      </w:hyperlink>
      <w:hyperlink r:id="rId296">
        <w:r w:rsidDel="00000000" w:rsidR="00000000" w:rsidRPr="00000000">
          <w:rPr>
            <w:b w:val="0"/>
            <w:bCs w:val="0"/>
            <w:i w:val="0"/>
            <w:iCs w:val="0"/>
            <w:color w:val="1155cc"/>
            <w:sz w:val="22"/>
            <w:szCs w:val="22"/>
            <w:u w:val="single"/>
            <w:rtl w:val="0"/>
          </w:rPr>
          <w:t xml:space="preserve">10.1175/1520-0450(1977)016&lt;0514:SWSMIP&gt;2.0.CO;2</w:t>
        </w:r>
      </w:hyperlink>
      <w:hyperlink r:id="rId297">
        <w:r w:rsidDel="00000000" w:rsidR="00000000" w:rsidRPr="00000000">
          <w:rPr>
            <w:b w:val="0"/>
            <w:bCs w:val="0"/>
            <w:i w:val="0"/>
            <w:iCs w:val="0"/>
            <w:color w:val="000000"/>
            <w:sz w:val="22"/>
            <w:szCs w:val="22"/>
            <w:u w:val="none"/>
            <w:rtl w:val="0"/>
          </w:rPr>
          <w:t xml:space="preserve">, 1977.</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298">
        <w:r w:rsidDel="00000000" w:rsidR="00000000" w:rsidRPr="00000000">
          <w:rPr>
            <w:b w:val="0"/>
            <w:bCs w:val="0"/>
            <w:i w:val="0"/>
            <w:iCs w:val="0"/>
            <w:color w:val="000000"/>
            <w:sz w:val="22"/>
            <w:szCs w:val="22"/>
            <w:u w:val="none"/>
            <w:rtl w:val="0"/>
          </w:rPr>
          <w:t xml:space="preserve">Simpson, I. J., Thurtell, G. W., Kidd, G. E., Lin, M., Demetriades-Shah, T. H., Flitcroft, I. D., Kanemasu, E. T., Nie, D., Bronson, K. F., and Neue, H. U.: Tunable diode laser measurements of methane fluxes from an irrigated rice paddy field in the Philippines, J. Geophys. Res., 100, 7283–7290, https://doi.org/</w:t>
        </w:r>
      </w:hyperlink>
      <w:hyperlink r:id="rId299">
        <w:r w:rsidDel="00000000" w:rsidR="00000000" w:rsidRPr="00000000">
          <w:rPr>
            <w:b w:val="0"/>
            <w:bCs w:val="0"/>
            <w:i w:val="0"/>
            <w:iCs w:val="0"/>
            <w:color w:val="1155cc"/>
            <w:sz w:val="22"/>
            <w:szCs w:val="22"/>
            <w:u w:val="single"/>
            <w:rtl w:val="0"/>
          </w:rPr>
          <w:t xml:space="preserve">10.1029/94jd03326</w:t>
        </w:r>
      </w:hyperlink>
      <w:hyperlink r:id="rId300">
        <w:r w:rsidDel="00000000" w:rsidR="00000000" w:rsidRPr="00000000">
          <w:rPr>
            <w:b w:val="0"/>
            <w:bCs w:val="0"/>
            <w:i w:val="0"/>
            <w:iCs w:val="0"/>
            <w:color w:val="000000"/>
            <w:sz w:val="22"/>
            <w:szCs w:val="22"/>
            <w:u w:val="none"/>
            <w:rtl w:val="0"/>
          </w:rPr>
          <w:t xml:space="preserve">, 1995.</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01">
        <w:r w:rsidDel="00000000" w:rsidR="00000000" w:rsidRPr="00000000">
          <w:rPr>
            <w:b w:val="0"/>
            <w:bCs w:val="0"/>
            <w:i w:val="0"/>
            <w:iCs w:val="0"/>
            <w:color w:val="000000"/>
            <w:sz w:val="22"/>
            <w:szCs w:val="22"/>
            <w:u w:val="none"/>
            <w:rtl w:val="0"/>
          </w:rPr>
          <w:t xml:space="preserve">Simpson, I. J., Edwards, G. C., Thurtell, G. W., den Hartog, G., Neumann, H. H., and Staebler, R. M.: Micrometeorological measurements of methane and nitrous oxide exchange above a boreal aspen forest, J. Geophys. Res., 102, 29331–29341, https://doi.org/</w:t>
        </w:r>
      </w:hyperlink>
      <w:hyperlink r:id="rId302">
        <w:r w:rsidDel="00000000" w:rsidR="00000000" w:rsidRPr="00000000">
          <w:rPr>
            <w:b w:val="0"/>
            <w:bCs w:val="0"/>
            <w:i w:val="0"/>
            <w:iCs w:val="0"/>
            <w:color w:val="1155cc"/>
            <w:sz w:val="22"/>
            <w:szCs w:val="22"/>
            <w:u w:val="single"/>
            <w:rtl w:val="0"/>
          </w:rPr>
          <w:t xml:space="preserve">10.1029/97jd03181</w:t>
        </w:r>
      </w:hyperlink>
      <w:hyperlink r:id="rId303">
        <w:r w:rsidDel="00000000" w:rsidR="00000000" w:rsidRPr="00000000">
          <w:rPr>
            <w:b w:val="0"/>
            <w:bCs w:val="0"/>
            <w:i w:val="0"/>
            <w:iCs w:val="0"/>
            <w:color w:val="000000"/>
            <w:sz w:val="22"/>
            <w:szCs w:val="22"/>
            <w:u w:val="none"/>
            <w:rtl w:val="0"/>
          </w:rPr>
          <w:t xml:space="preserve">, 1997.</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04">
        <w:r w:rsidDel="00000000" w:rsidR="00000000" w:rsidRPr="00000000">
          <w:rPr>
            <w:b w:val="0"/>
            <w:bCs w:val="0"/>
            <w:i w:val="0"/>
            <w:iCs w:val="0"/>
            <w:color w:val="000000"/>
            <w:sz w:val="22"/>
            <w:szCs w:val="22"/>
            <w:u w:val="none"/>
            <w:rtl w:val="0"/>
          </w:rPr>
          <w:t xml:space="preserve">Simpson, I. J., Thurtell, G. W., Neumann, H. H., Den Hartog, G., and Edwards, G. C.: The Validity of Similarity Theory in the Roughness Sublayer Above Forests, Bound.-Layer Meteorol., 87, 69–99, https://doi.org/</w:t>
        </w:r>
      </w:hyperlink>
      <w:hyperlink r:id="rId305">
        <w:r w:rsidDel="00000000" w:rsidR="00000000" w:rsidRPr="00000000">
          <w:rPr>
            <w:b w:val="0"/>
            <w:bCs w:val="0"/>
            <w:i w:val="0"/>
            <w:iCs w:val="0"/>
            <w:color w:val="1155cc"/>
            <w:sz w:val="22"/>
            <w:szCs w:val="22"/>
            <w:u w:val="single"/>
            <w:rtl w:val="0"/>
          </w:rPr>
          <w:t xml:space="preserve">10.1023/A:1000809902980</w:t>
        </w:r>
      </w:hyperlink>
      <w:hyperlink r:id="rId306">
        <w:r w:rsidDel="00000000" w:rsidR="00000000" w:rsidRPr="00000000">
          <w:rPr>
            <w:b w:val="0"/>
            <w:bCs w:val="0"/>
            <w:i w:val="0"/>
            <w:iCs w:val="0"/>
            <w:color w:val="000000"/>
            <w:sz w:val="22"/>
            <w:szCs w:val="22"/>
            <w:u w:val="none"/>
            <w:rtl w:val="0"/>
          </w:rPr>
          <w:t xml:space="preserve">, 1998.</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07">
        <w:r w:rsidDel="00000000" w:rsidR="00000000" w:rsidRPr="00000000">
          <w:rPr>
            <w:b w:val="0"/>
            <w:bCs w:val="0"/>
            <w:i w:val="0"/>
            <w:iCs w:val="0"/>
            <w:color w:val="000000"/>
            <w:sz w:val="22"/>
            <w:szCs w:val="22"/>
            <w:u w:val="none"/>
            <w:rtl w:val="0"/>
          </w:rPr>
          <w:t xml:space="preserve">Spirig, C., Neftel, A., Ammann, C., Dommen, J., Grabmer, W., Thielmann, A., Schaub, A., Beauchamp, J., Wisthaler, A., and Hansel, A.: Eddy covariance flux measurements of biogenic VOCs during ECHO 2003 using proton transfer reaction mass spectrometry, Atmos. Chem. Phys., 5, 465–481, https://doi.org/</w:t>
        </w:r>
      </w:hyperlink>
      <w:hyperlink r:id="rId308">
        <w:r w:rsidDel="00000000" w:rsidR="00000000" w:rsidRPr="00000000">
          <w:rPr>
            <w:b w:val="0"/>
            <w:bCs w:val="0"/>
            <w:i w:val="0"/>
            <w:iCs w:val="0"/>
            <w:color w:val="1155cc"/>
            <w:sz w:val="22"/>
            <w:szCs w:val="22"/>
            <w:u w:val="single"/>
            <w:rtl w:val="0"/>
          </w:rPr>
          <w:t xml:space="preserve">10.5194/acp-5-465-2005</w:t>
        </w:r>
      </w:hyperlink>
      <w:hyperlink r:id="rId309">
        <w:r w:rsidDel="00000000" w:rsidR="00000000" w:rsidRPr="00000000">
          <w:rPr>
            <w:b w:val="0"/>
            <w:bCs w:val="0"/>
            <w:i w:val="0"/>
            <w:iCs w:val="0"/>
            <w:color w:val="000000"/>
            <w:sz w:val="22"/>
            <w:szCs w:val="22"/>
            <w:u w:val="none"/>
            <w:rtl w:val="0"/>
          </w:rPr>
          <w:t xml:space="preserve">, 2005.</w:t>
        </w:r>
      </w:hyperlink>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0">
        <w:r w:rsidDel="00000000" w:rsidR="00000000" w:rsidRPr="00000000">
          <w:rPr>
            <w:b w:val="0"/>
            <w:bCs w:val="0"/>
            <w:i w:val="0"/>
            <w:iCs w:val="0"/>
            <w:color w:val="000000"/>
            <w:sz w:val="22"/>
            <w:szCs w:val="22"/>
            <w:u w:val="none"/>
            <w:rtl w:val="0"/>
          </w:rPr>
          <w:t xml:space="preserve">Starkenburg, D., Metzger, S., Fochesatto, G. J., Alfieri, J. G., Gens, R., Prakash, A., and Cristóbal, J.: Assessment of Despiking Methods for Turbulence Data in Micrometeorology, https://doi.org/</w:t>
        </w:r>
      </w:hyperlink>
      <w:hyperlink r:id="rId311">
        <w:r w:rsidDel="00000000" w:rsidR="00000000" w:rsidRPr="00000000">
          <w:rPr>
            <w:b w:val="0"/>
            <w:bCs w:val="0"/>
            <w:i w:val="0"/>
            <w:iCs w:val="0"/>
            <w:color w:val="1155cc"/>
            <w:sz w:val="22"/>
            <w:szCs w:val="22"/>
            <w:u w:val="single"/>
            <w:rtl w:val="0"/>
          </w:rPr>
          <w:t xml:space="preserve">10.1175/jtech-d-15-0154.1</w:t>
        </w:r>
      </w:hyperlink>
      <w:hyperlink r:id="rId312">
        <w:r w:rsidDel="00000000" w:rsidR="00000000" w:rsidRPr="00000000">
          <w:rPr>
            <w:b w:val="0"/>
            <w:bCs w:val="0"/>
            <w:i w:val="0"/>
            <w:iCs w:val="0"/>
            <w:color w:val="000000"/>
            <w:sz w:val="22"/>
            <w:szCs w:val="22"/>
            <w:u w:val="none"/>
            <w:rtl w:val="0"/>
          </w:rPr>
          <w:t xml:space="preserve">, 2016.</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3">
        <w:r w:rsidDel="00000000" w:rsidR="00000000" w:rsidRPr="00000000">
          <w:rPr>
            <w:b w:val="0"/>
            <w:bCs w:val="0"/>
            <w:i w:val="0"/>
            <w:iCs w:val="0"/>
            <w:color w:val="000000"/>
            <w:sz w:val="22"/>
            <w:szCs w:val="22"/>
            <w:u w:val="none"/>
            <w:rtl w:val="0"/>
          </w:rPr>
          <w:t xml:space="preserve">Stewart, J. B. and Thom, A. S.: Energy budgets in pine forest, Q. J. R. Meteorol. Soc., 99, 154–170, https://doi.org/</w:t>
        </w:r>
      </w:hyperlink>
      <w:hyperlink r:id="rId314">
        <w:r w:rsidDel="00000000" w:rsidR="00000000" w:rsidRPr="00000000">
          <w:rPr>
            <w:b w:val="0"/>
            <w:bCs w:val="0"/>
            <w:i w:val="0"/>
            <w:iCs w:val="0"/>
            <w:color w:val="1155cc"/>
            <w:sz w:val="22"/>
            <w:szCs w:val="22"/>
            <w:u w:val="single"/>
            <w:rtl w:val="0"/>
          </w:rPr>
          <w:t xml:space="preserve">10.1002/qj.49709941913</w:t>
        </w:r>
      </w:hyperlink>
      <w:hyperlink r:id="rId315">
        <w:r w:rsidDel="00000000" w:rsidR="00000000" w:rsidRPr="00000000">
          <w:rPr>
            <w:b w:val="0"/>
            <w:bCs w:val="0"/>
            <w:i w:val="0"/>
            <w:iCs w:val="0"/>
            <w:color w:val="000000"/>
            <w:sz w:val="22"/>
            <w:szCs w:val="22"/>
            <w:u w:val="none"/>
            <w:rtl w:val="0"/>
          </w:rPr>
          <w:t xml:space="preserve">, 1973.</w:t>
        </w:r>
      </w:hyperlink>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6">
        <w:r w:rsidDel="00000000" w:rsidR="00000000" w:rsidRPr="00000000">
          <w:rPr>
            <w:b w:val="0"/>
            <w:bCs w:val="0"/>
            <w:i w:val="0"/>
            <w:iCs w:val="0"/>
            <w:color w:val="000000"/>
            <w:sz w:val="22"/>
            <w:szCs w:val="22"/>
            <w:u w:val="none"/>
            <w:rtl w:val="0"/>
          </w:rPr>
          <w:t xml:space="preserve">Stull, R. B.: An Introduction to Boundary Layer Meteorology Springer, 1988.</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7">
        <w:r w:rsidDel="00000000" w:rsidR="00000000" w:rsidRPr="00000000">
          <w:rPr>
            <w:b w:val="0"/>
            <w:bCs w:val="0"/>
            <w:i w:val="0"/>
            <w:iCs w:val="0"/>
            <w:color w:val="000000"/>
            <w:sz w:val="22"/>
            <w:szCs w:val="22"/>
            <w:u w:val="none"/>
            <w:rtl w:val="0"/>
          </w:rPr>
          <w:t xml:space="preserve">Stull, R. B.: An introduction to boundary layer meteorology, 13, 2012.</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18">
        <w:r w:rsidDel="00000000" w:rsidR="00000000" w:rsidRPr="00000000">
          <w:rPr>
            <w:b w:val="0"/>
            <w:bCs w:val="0"/>
            <w:i w:val="0"/>
            <w:iCs w:val="0"/>
            <w:color w:val="000000"/>
            <w:sz w:val="22"/>
            <w:szCs w:val="22"/>
            <w:u w:val="none"/>
            <w:rtl w:val="0"/>
          </w:rPr>
          <w:t xml:space="preserve">Sturtevant, C., DeRego, E., Metzger, S., Ayres, E., Allen, D., Burlingame, T., Catolico, N., Cawley, K., Csavina, J., Durden, D., Florian, C., Frost, S., Gaddie, R., Knapp, E., Laney, C., Lee, R., Lenz, D., Litt, G., Luo, H., Roberti, J., Slemmons, C., Styers, K., Tran, C., Vance, T., and SanClements, M.: A process approach to quality management doublesNEONsensor data quality, Methods Ecol. Evol., 13, 1849–1865, https://doi.org/</w:t>
        </w:r>
      </w:hyperlink>
      <w:hyperlink r:id="rId319">
        <w:r w:rsidDel="00000000" w:rsidR="00000000" w:rsidRPr="00000000">
          <w:rPr>
            <w:b w:val="0"/>
            <w:bCs w:val="0"/>
            <w:i w:val="0"/>
            <w:iCs w:val="0"/>
            <w:color w:val="1155cc"/>
            <w:sz w:val="22"/>
            <w:szCs w:val="22"/>
            <w:u w:val="single"/>
            <w:rtl w:val="0"/>
          </w:rPr>
          <w:t xml:space="preserve">10.1111/2041-210x.13943</w:t>
        </w:r>
      </w:hyperlink>
      <w:hyperlink r:id="rId320">
        <w:r w:rsidDel="00000000" w:rsidR="00000000" w:rsidRPr="00000000">
          <w:rPr>
            <w:b w:val="0"/>
            <w:bCs w:val="0"/>
            <w:i w:val="0"/>
            <w:iCs w:val="0"/>
            <w:color w:val="000000"/>
            <w:sz w:val="22"/>
            <w:szCs w:val="22"/>
            <w:u w:val="none"/>
            <w:rtl w:val="0"/>
          </w:rPr>
          <w:t xml:space="preserve">, 2022.</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21">
        <w:r w:rsidDel="00000000" w:rsidR="00000000" w:rsidRPr="00000000">
          <w:rPr>
            <w:b w:val="0"/>
            <w:bCs w:val="0"/>
            <w:i w:val="0"/>
            <w:iCs w:val="0"/>
            <w:color w:val="000000"/>
            <w:sz w:val="22"/>
            <w:szCs w:val="22"/>
            <w:u w:val="none"/>
            <w:rtl w:val="0"/>
          </w:rPr>
          <w:t xml:space="preserve">Tanimoto, H., Kameyama, S., Iwata, T., Inomata, S., and Omori, Y.: Measurement of air-sea exchange of dimethyl sulfide and acetone by PTR-MS coupled with gradient flux technique, Environ. Sci. Technol., 48, 526–533, https://doi.org/</w:t>
        </w:r>
      </w:hyperlink>
      <w:hyperlink r:id="rId322">
        <w:r w:rsidDel="00000000" w:rsidR="00000000" w:rsidRPr="00000000">
          <w:rPr>
            <w:b w:val="0"/>
            <w:bCs w:val="0"/>
            <w:i w:val="0"/>
            <w:iCs w:val="0"/>
            <w:color w:val="1155cc"/>
            <w:sz w:val="22"/>
            <w:szCs w:val="22"/>
            <w:u w:val="single"/>
            <w:rtl w:val="0"/>
          </w:rPr>
          <w:t xml:space="preserve">10.1021/es4032562</w:t>
        </w:r>
      </w:hyperlink>
      <w:hyperlink r:id="rId323">
        <w:r w:rsidDel="00000000" w:rsidR="00000000" w:rsidRPr="00000000">
          <w:rPr>
            <w:b w:val="0"/>
            <w:bCs w:val="0"/>
            <w:i w:val="0"/>
            <w:iCs w:val="0"/>
            <w:color w:val="000000"/>
            <w:sz w:val="22"/>
            <w:szCs w:val="22"/>
            <w:u w:val="none"/>
            <w:rtl w:val="0"/>
          </w:rPr>
          <w:t xml:space="preserve">, 2014.</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24">
        <w:r w:rsidDel="00000000" w:rsidR="00000000" w:rsidRPr="00000000">
          <w:rPr>
            <w:b w:val="0"/>
            <w:bCs w:val="0"/>
            <w:i w:val="0"/>
            <w:iCs w:val="0"/>
            <w:color w:val="000000"/>
            <w:sz w:val="22"/>
            <w:szCs w:val="22"/>
            <w:u w:val="none"/>
            <w:rtl w:val="0"/>
          </w:rPr>
          <w:t xml:space="preserve">Wagner-Riddle, C., Thurtell, G. W., King, K. M., Kidd, G. E., and Beauchamp, E. G.: Nitrous oxide and carbon dioxide fluxes from a bare soil using a micrometeorological approach, J. Environ. Qual., 25, 898–907, https://doi.org/</w:t>
        </w:r>
      </w:hyperlink>
      <w:hyperlink r:id="rId325">
        <w:r w:rsidDel="00000000" w:rsidR="00000000" w:rsidRPr="00000000">
          <w:rPr>
            <w:b w:val="0"/>
            <w:bCs w:val="0"/>
            <w:i w:val="0"/>
            <w:iCs w:val="0"/>
            <w:color w:val="1155cc"/>
            <w:sz w:val="22"/>
            <w:szCs w:val="22"/>
            <w:u w:val="single"/>
            <w:rtl w:val="0"/>
          </w:rPr>
          <w:t xml:space="preserve">10.2134/jeq1996.00472425002500040035x</w:t>
        </w:r>
      </w:hyperlink>
      <w:hyperlink r:id="rId326">
        <w:r w:rsidDel="00000000" w:rsidR="00000000" w:rsidRPr="00000000">
          <w:rPr>
            <w:b w:val="0"/>
            <w:bCs w:val="0"/>
            <w:i w:val="0"/>
            <w:iCs w:val="0"/>
            <w:color w:val="000000"/>
            <w:sz w:val="22"/>
            <w:szCs w:val="22"/>
            <w:u w:val="none"/>
            <w:rtl w:val="0"/>
          </w:rPr>
          <w:t xml:space="preserve">, 1996.</w:t>
        </w:r>
      </w:hyperlink>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27">
        <w:r w:rsidDel="00000000" w:rsidR="00000000" w:rsidRPr="00000000">
          <w:rPr>
            <w:b w:val="0"/>
            <w:bCs w:val="0"/>
            <w:i w:val="0"/>
            <w:iCs w:val="0"/>
            <w:color w:val="000000"/>
            <w:sz w:val="22"/>
            <w:szCs w:val="22"/>
            <w:u w:val="none"/>
            <w:rtl w:val="0"/>
          </w:rPr>
          <w:t xml:space="preserve">Wagner-Riddle, C., Thurtell, G. W., and Edwards, G. C.: Trace Gas Concentration Measurements for Micrometeorological Flux Quantification, in: Agronomy Monographs, American Society of Agronomy, Crop Science Society of America, and Soil Science Society of America, Madison, WI, USA, 321–343, https://doi.org/</w:t>
        </w:r>
      </w:hyperlink>
      <w:hyperlink r:id="rId328">
        <w:r w:rsidDel="00000000" w:rsidR="00000000" w:rsidRPr="00000000">
          <w:rPr>
            <w:b w:val="0"/>
            <w:bCs w:val="0"/>
            <w:i w:val="0"/>
            <w:iCs w:val="0"/>
            <w:color w:val="1155cc"/>
            <w:sz w:val="22"/>
            <w:szCs w:val="22"/>
            <w:u w:val="single"/>
            <w:rtl w:val="0"/>
          </w:rPr>
          <w:t xml:space="preserve">10.2134/agronmonogr47.c14</w:t>
        </w:r>
      </w:hyperlink>
      <w:hyperlink r:id="rId329">
        <w:r w:rsidDel="00000000" w:rsidR="00000000" w:rsidRPr="00000000">
          <w:rPr>
            <w:b w:val="0"/>
            <w:bCs w:val="0"/>
            <w:i w:val="0"/>
            <w:iCs w:val="0"/>
            <w:color w:val="000000"/>
            <w:sz w:val="22"/>
            <w:szCs w:val="22"/>
            <w:u w:val="none"/>
            <w:rtl w:val="0"/>
          </w:rPr>
          <w:t xml:space="preserve">, 2005.</w:t>
        </w:r>
      </w:hyperlink>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30">
        <w:r w:rsidDel="00000000" w:rsidR="00000000" w:rsidRPr="00000000">
          <w:rPr>
            <w:b w:val="0"/>
            <w:bCs w:val="0"/>
            <w:i w:val="0"/>
            <w:iCs w:val="0"/>
            <w:color w:val="000000"/>
            <w:sz w:val="22"/>
            <w:szCs w:val="22"/>
            <w:u w:val="none"/>
            <w:rtl w:val="0"/>
          </w:rPr>
          <w:t xml:space="preserve">Wang, J., Choi, D. H., LaRue, E., Atkins, J. W., Foster, J. R., Matthes, J. H., Fahey, R. T., Fei, S., and Hardiman, B. S.: NEON-SD: A 30-m structural diversity product derived from the NEON Discrete-Return LiDAR Point Cloud, Sci. Data, 11, 1174, https://doi.org/</w:t>
        </w:r>
      </w:hyperlink>
      <w:hyperlink r:id="rId331">
        <w:r w:rsidDel="00000000" w:rsidR="00000000" w:rsidRPr="00000000">
          <w:rPr>
            <w:b w:val="0"/>
            <w:bCs w:val="0"/>
            <w:i w:val="0"/>
            <w:iCs w:val="0"/>
            <w:color w:val="1155cc"/>
            <w:sz w:val="22"/>
            <w:szCs w:val="22"/>
            <w:u w:val="single"/>
            <w:rtl w:val="0"/>
          </w:rPr>
          <w:t xml:space="preserve">10.1038/s41597-024-04018-0</w:t>
        </w:r>
      </w:hyperlink>
      <w:hyperlink r:id="rId332">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33">
        <w:r w:rsidDel="00000000" w:rsidR="00000000" w:rsidRPr="00000000">
          <w:rPr>
            <w:b w:val="0"/>
            <w:bCs w:val="0"/>
            <w:i w:val="0"/>
            <w:iCs w:val="0"/>
            <w:color w:val="000000"/>
            <w:sz w:val="22"/>
            <w:szCs w:val="22"/>
            <w:u w:val="none"/>
            <w:rtl w:val="0"/>
          </w:rPr>
          <w:t xml:space="preserve">Welles, J. M. and McDermitt, D. K.: Measuring carbon dioxide in the atmosphere, in: Agronomy Monographs, American Society of Agronomy, Crop Science Society of America, and Soil Science Society of America, Madison, WI, USA, 287–320, https://doi.org/</w:t>
        </w:r>
      </w:hyperlink>
      <w:hyperlink r:id="rId334">
        <w:r w:rsidDel="00000000" w:rsidR="00000000" w:rsidRPr="00000000">
          <w:rPr>
            <w:b w:val="0"/>
            <w:bCs w:val="0"/>
            <w:i w:val="0"/>
            <w:iCs w:val="0"/>
            <w:color w:val="1155cc"/>
            <w:sz w:val="22"/>
            <w:szCs w:val="22"/>
            <w:u w:val="single"/>
            <w:rtl w:val="0"/>
          </w:rPr>
          <w:t xml:space="preserve">10.2134/agronmonogr47.c13</w:t>
        </w:r>
      </w:hyperlink>
      <w:hyperlink r:id="rId335">
        <w:r w:rsidDel="00000000" w:rsidR="00000000" w:rsidRPr="00000000">
          <w:rPr>
            <w:b w:val="0"/>
            <w:bCs w:val="0"/>
            <w:i w:val="0"/>
            <w:iCs w:val="0"/>
            <w:color w:val="000000"/>
            <w:sz w:val="22"/>
            <w:szCs w:val="22"/>
            <w:u w:val="none"/>
            <w:rtl w:val="0"/>
          </w:rPr>
          <w:t xml:space="preserve">, 2005.</w:t>
        </w:r>
      </w:hyperlink>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36">
        <w:r w:rsidDel="00000000" w:rsidR="00000000" w:rsidRPr="00000000">
          <w:rPr>
            <w:b w:val="0"/>
            <w:bCs w:val="0"/>
            <w:i w:val="0"/>
            <w:iCs w:val="0"/>
            <w:color w:val="000000"/>
            <w:sz w:val="22"/>
            <w:szCs w:val="22"/>
            <w:u w:val="none"/>
            <w:rtl w:val="0"/>
          </w:rPr>
          <w:t xml:space="preserve">Werner, C., Davis, K., Bakwin, P., Yi, C., Hurst, D., and Lock, L.: Regional‐scale measurements of CH</w:t>
        </w:r>
      </w:hyperlink>
      <w:hyperlink r:id="rId337">
        <w:r w:rsidDel="00000000" w:rsidR="00000000" w:rsidRPr="00000000">
          <w:rPr>
            <w:b w:val="0"/>
            <w:bCs w:val="0"/>
            <w:i w:val="0"/>
            <w:iCs w:val="0"/>
            <w:color w:val="000000"/>
            <w:sz w:val="22"/>
            <w:szCs w:val="22"/>
            <w:u w:val="none"/>
            <w:vertAlign w:val="subscript"/>
            <w:rtl w:val="0"/>
          </w:rPr>
          <w:t xml:space="preserve">4</w:t>
        </w:r>
      </w:hyperlink>
      <w:hyperlink r:id="rId338">
        <w:r w:rsidDel="00000000" w:rsidR="00000000" w:rsidRPr="00000000">
          <w:rPr>
            <w:b w:val="0"/>
            <w:bCs w:val="0"/>
            <w:i w:val="0"/>
            <w:iCs w:val="0"/>
            <w:color w:val="000000"/>
            <w:sz w:val="22"/>
            <w:szCs w:val="22"/>
            <w:u w:val="none"/>
            <w:rtl w:val="0"/>
          </w:rPr>
          <w:t xml:space="preserve"> exchange from a tall tower over a mixed temperate/boreal lowland and wetland forest, Glob. Chang. Biol., 9, 1251–1261, https://doi.org/</w:t>
        </w:r>
      </w:hyperlink>
      <w:hyperlink r:id="rId339">
        <w:r w:rsidDel="00000000" w:rsidR="00000000" w:rsidRPr="00000000">
          <w:rPr>
            <w:b w:val="0"/>
            <w:bCs w:val="0"/>
            <w:i w:val="0"/>
            <w:iCs w:val="0"/>
            <w:color w:val="1155cc"/>
            <w:sz w:val="22"/>
            <w:szCs w:val="22"/>
            <w:u w:val="single"/>
            <w:rtl w:val="0"/>
          </w:rPr>
          <w:t xml:space="preserve">10.1046/j.1365-2486.2003.00670.x</w:t>
        </w:r>
      </w:hyperlink>
      <w:hyperlink r:id="rId340">
        <w:r w:rsidDel="00000000" w:rsidR="00000000" w:rsidRPr="00000000">
          <w:rPr>
            <w:b w:val="0"/>
            <w:bCs w:val="0"/>
            <w:i w:val="0"/>
            <w:iCs w:val="0"/>
            <w:color w:val="000000"/>
            <w:sz w:val="22"/>
            <w:szCs w:val="22"/>
            <w:u w:val="none"/>
            <w:rtl w:val="0"/>
          </w:rPr>
          <w:t xml:space="preserve">, 2003.</w:t>
        </w:r>
      </w:hyperlink>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41">
        <w:r w:rsidDel="00000000" w:rsidR="00000000" w:rsidRPr="00000000">
          <w:rPr>
            <w:b w:val="0"/>
            <w:bCs w:val="0"/>
            <w:i w:val="0"/>
            <w:iCs w:val="0"/>
            <w:color w:val="000000"/>
            <w:sz w:val="22"/>
            <w:szCs w:val="22"/>
            <w:u w:val="none"/>
            <w:rtl w:val="0"/>
          </w:rPr>
          <w:t xml:space="preserve">Willcock, S., Hooftman, D. A. P., Blanchard, R., Dawson, T. P., Hickler, T., Lindeskog, M., Martinez-Lopez, J., Reyers, B., Watts, S. M., Eigenbrod, F., and Bullock, J. M.: Ensembles of ecosystem service models can improve accuracy and indicate uncertainty, Sci. Total Environ., 747, 141006, https://doi.org/</w:t>
        </w:r>
      </w:hyperlink>
      <w:hyperlink r:id="rId342">
        <w:r w:rsidDel="00000000" w:rsidR="00000000" w:rsidRPr="00000000">
          <w:rPr>
            <w:b w:val="0"/>
            <w:bCs w:val="0"/>
            <w:i w:val="0"/>
            <w:iCs w:val="0"/>
            <w:color w:val="1155cc"/>
            <w:sz w:val="22"/>
            <w:szCs w:val="22"/>
            <w:u w:val="single"/>
            <w:rtl w:val="0"/>
          </w:rPr>
          <w:t xml:space="preserve">10.1016/j.scitotenv.2020.141006</w:t>
        </w:r>
      </w:hyperlink>
      <w:hyperlink r:id="rId343">
        <w:r w:rsidDel="00000000" w:rsidR="00000000" w:rsidRPr="00000000">
          <w:rPr>
            <w:b w:val="0"/>
            <w:bCs w:val="0"/>
            <w:i w:val="0"/>
            <w:iCs w:val="0"/>
            <w:color w:val="000000"/>
            <w:sz w:val="22"/>
            <w:szCs w:val="22"/>
            <w:u w:val="none"/>
            <w:rtl w:val="0"/>
          </w:rPr>
          <w:t xml:space="preserve">, 2020.</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44">
        <w:r w:rsidDel="00000000" w:rsidR="00000000" w:rsidRPr="00000000">
          <w:rPr>
            <w:b w:val="0"/>
            <w:bCs w:val="0"/>
            <w:i w:val="0"/>
            <w:iCs w:val="0"/>
            <w:color w:val="000000"/>
            <w:sz w:val="22"/>
            <w:szCs w:val="22"/>
            <w:u w:val="none"/>
            <w:rtl w:val="0"/>
          </w:rPr>
          <w:t xml:space="preserve">Wolf, A., Saliendra, N., Akshalov, K., Johnson, D. A., and Laca, E.: Effects of different eddy covariance correction schemes on energy balance closure and comparisons with the modified Bowen ratio system, Agric. For. Meteorol., 148, 942–952, https://doi.org/</w:t>
        </w:r>
      </w:hyperlink>
      <w:hyperlink r:id="rId345">
        <w:r w:rsidDel="00000000" w:rsidR="00000000" w:rsidRPr="00000000">
          <w:rPr>
            <w:b w:val="0"/>
            <w:bCs w:val="0"/>
            <w:i w:val="0"/>
            <w:iCs w:val="0"/>
            <w:color w:val="1155cc"/>
            <w:sz w:val="22"/>
            <w:szCs w:val="22"/>
            <w:u w:val="single"/>
            <w:rtl w:val="0"/>
          </w:rPr>
          <w:t xml:space="preserve">10.1016/j.agrformet.2008.01.005</w:t>
        </w:r>
      </w:hyperlink>
      <w:hyperlink r:id="rId346">
        <w:r w:rsidDel="00000000" w:rsidR="00000000" w:rsidRPr="00000000">
          <w:rPr>
            <w:b w:val="0"/>
            <w:bCs w:val="0"/>
            <w:i w:val="0"/>
            <w:iCs w:val="0"/>
            <w:color w:val="000000"/>
            <w:sz w:val="22"/>
            <w:szCs w:val="22"/>
            <w:u w:val="none"/>
            <w:rtl w:val="0"/>
          </w:rPr>
          <w:t xml:space="preserve">, 2008.</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47">
        <w:r w:rsidDel="00000000" w:rsidR="00000000" w:rsidRPr="00000000">
          <w:rPr>
            <w:b w:val="0"/>
            <w:bCs w:val="0"/>
            <w:i w:val="0"/>
            <w:iCs w:val="0"/>
            <w:color w:val="000000"/>
            <w:sz w:val="22"/>
            <w:szCs w:val="22"/>
            <w:u w:val="none"/>
            <w:rtl w:val="0"/>
          </w:rPr>
          <w:t xml:space="preserve">Wu, Z. Y., Zhang, L., Wang, X. M., and Munger, J. W.: A modified micrometeorological gradient method for estimating O</w:t>
        </w:r>
      </w:hyperlink>
      <w:hyperlink r:id="rId348">
        <w:r w:rsidDel="00000000" w:rsidR="00000000" w:rsidRPr="00000000">
          <w:rPr>
            <w:b w:val="0"/>
            <w:bCs w:val="0"/>
            <w:i w:val="0"/>
            <w:iCs w:val="0"/>
            <w:color w:val="000000"/>
            <w:sz w:val="22"/>
            <w:szCs w:val="22"/>
            <w:u w:val="none"/>
            <w:vertAlign w:val="subscript"/>
            <w:rtl w:val="0"/>
          </w:rPr>
          <w:t xml:space="preserve">3</w:t>
        </w:r>
      </w:hyperlink>
      <w:hyperlink r:id="rId349">
        <w:r w:rsidDel="00000000" w:rsidR="00000000" w:rsidRPr="00000000">
          <w:rPr>
            <w:b w:val="0"/>
            <w:bCs w:val="0"/>
            <w:i w:val="0"/>
            <w:iCs w:val="0"/>
            <w:color w:val="000000"/>
            <w:sz w:val="22"/>
            <w:szCs w:val="22"/>
            <w:u w:val="none"/>
            <w:rtl w:val="0"/>
          </w:rPr>
          <w:t xml:space="preserve"> dry depositions over a forest canopy, Atmos. Chem. Phys., 15, 7487–7496, https://doi.org/</w:t>
        </w:r>
      </w:hyperlink>
      <w:hyperlink r:id="rId350">
        <w:r w:rsidDel="00000000" w:rsidR="00000000" w:rsidRPr="00000000">
          <w:rPr>
            <w:b w:val="0"/>
            <w:bCs w:val="0"/>
            <w:i w:val="0"/>
            <w:iCs w:val="0"/>
            <w:color w:val="1155cc"/>
            <w:sz w:val="22"/>
            <w:szCs w:val="22"/>
            <w:u w:val="single"/>
            <w:rtl w:val="0"/>
          </w:rPr>
          <w:t xml:space="preserve">10.5194/acp-15-7487-2015</w:t>
        </w:r>
      </w:hyperlink>
      <w:hyperlink r:id="rId351">
        <w:r w:rsidDel="00000000" w:rsidR="00000000" w:rsidRPr="00000000">
          <w:rPr>
            <w:b w:val="0"/>
            <w:bCs w:val="0"/>
            <w:i w:val="0"/>
            <w:iCs w:val="0"/>
            <w:color w:val="000000"/>
            <w:sz w:val="22"/>
            <w:szCs w:val="22"/>
            <w:u w:val="none"/>
            <w:rtl w:val="0"/>
          </w:rPr>
          <w:t xml:space="preserve">, 2015.</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52">
        <w:r w:rsidDel="00000000" w:rsidR="00000000" w:rsidRPr="00000000">
          <w:rPr>
            <w:b w:val="0"/>
            <w:bCs w:val="0"/>
            <w:i w:val="0"/>
            <w:iCs w:val="0"/>
            <w:color w:val="000000"/>
            <w:sz w:val="22"/>
            <w:szCs w:val="22"/>
            <w:u w:val="none"/>
            <w:rtl w:val="0"/>
          </w:rPr>
          <w:t xml:space="preserve">Yuan, R., Kang, M., Park, S.-B., Hong, J., Lee, D., and Kim, J.: Expansion of the planar-fit method to estimate flux over complex terrain, Meteorol. Atmos. Phys., 110, 123–133, https://doi.org/</w:t>
        </w:r>
      </w:hyperlink>
      <w:hyperlink r:id="rId353">
        <w:r w:rsidDel="00000000" w:rsidR="00000000" w:rsidRPr="00000000">
          <w:rPr>
            <w:b w:val="0"/>
            <w:bCs w:val="0"/>
            <w:i w:val="0"/>
            <w:iCs w:val="0"/>
            <w:color w:val="1155cc"/>
            <w:sz w:val="22"/>
            <w:szCs w:val="22"/>
            <w:u w:val="single"/>
            <w:rtl w:val="0"/>
          </w:rPr>
          <w:t xml:space="preserve">10.1007/s00703-010-0113-9</w:t>
        </w:r>
      </w:hyperlink>
      <w:hyperlink r:id="rId354">
        <w:r w:rsidDel="00000000" w:rsidR="00000000" w:rsidRPr="00000000">
          <w:rPr>
            <w:b w:val="0"/>
            <w:bCs w:val="0"/>
            <w:i w:val="0"/>
            <w:iCs w:val="0"/>
            <w:color w:val="000000"/>
            <w:sz w:val="22"/>
            <w:szCs w:val="22"/>
            <w:u w:val="none"/>
            <w:rtl w:val="0"/>
          </w:rPr>
          <w:t xml:space="preserve">, 2011.</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b w:val="0"/>
          <w:bCs w:val="0"/>
          <w:i w:val="0"/>
          <w:iCs w:val="0"/>
          <w:color w:val="000000"/>
          <w:sz w:val="22"/>
          <w:szCs w:val="22"/>
        </w:rPr>
      </w:pPr>
      <w:hyperlink r:id="rId355">
        <w:r w:rsidDel="00000000" w:rsidR="00000000" w:rsidRPr="00000000">
          <w:rPr>
            <w:b w:val="0"/>
            <w:bCs w:val="0"/>
            <w:i w:val="0"/>
            <w:iCs w:val="0"/>
            <w:color w:val="000000"/>
            <w:sz w:val="22"/>
            <w:szCs w:val="22"/>
            <w:u w:val="none"/>
            <w:rtl w:val="0"/>
          </w:rPr>
          <w:t xml:space="preserve">Zhao, J., Zhang, M., Xiao, W., Wang, W., Zhang, Z., Yu, Z., Xiao, Q., Cao, Z., Xu, J., Zhang, X., Liu, S., and Lee, X.: An evaluation of the flux-gradient and the eddy covariance method to measure CH4, CO2, and H2O fluxes from small ponds, Agric. For. Meteorol., 275, 255–264, https://doi.org/</w:t>
        </w:r>
      </w:hyperlink>
      <w:hyperlink r:id="rId356">
        <w:r w:rsidDel="00000000" w:rsidR="00000000" w:rsidRPr="00000000">
          <w:rPr>
            <w:b w:val="0"/>
            <w:bCs w:val="0"/>
            <w:i w:val="0"/>
            <w:iCs w:val="0"/>
            <w:color w:val="1155cc"/>
            <w:sz w:val="22"/>
            <w:szCs w:val="22"/>
            <w:u w:val="single"/>
            <w:rtl w:val="0"/>
          </w:rPr>
          <w:t xml:space="preserve">10.1016/j.agrformet.2019.05.032</w:t>
        </w:r>
      </w:hyperlink>
      <w:hyperlink r:id="rId357">
        <w:r w:rsidDel="00000000" w:rsidR="00000000" w:rsidRPr="00000000">
          <w:rPr>
            <w:b w:val="0"/>
            <w:bCs w:val="0"/>
            <w:i w:val="0"/>
            <w:iCs w:val="0"/>
            <w:color w:val="000000"/>
            <w:sz w:val="22"/>
            <w:szCs w:val="22"/>
            <w:u w:val="none"/>
            <w:rtl w:val="0"/>
          </w:rPr>
          <w:t xml:space="preserve">, 2019.</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0" w:right="0" w:firstLine="0"/>
        <w:jc w:val="left"/>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358" w:type="default"/>
      <w:footerReference r:id="rId35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parkle Malone" w:id="8" w:date="2026-02-15T15:33:24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this to the discussion: The estimation of K for the AE and WP requires horizontally homogeneous canopies, stationary turbulence, and negligible advection, which seldom hold in real ecosystems, leading to recognized but poorly quantified uncertainties in many GF deployments. During low wind speeds, errors can result in flux estimates that are 10% to 30% inaccurate (Verma and Rosenberg, 1975). Additionally, Raupach 1979 has shown that K values vary by a factor of 2 under different atmospheric conditions (Raupach, 1979).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Raupach (1979) found that the GF depends on the assumed roughness length and displacement height, which is typically set as a fixed ratio of canopy height (Raupach, 1979). Given that canopy height can be dynamic at times, both over seasonal and interannual timescales (Chu et al., 2021), one would expect GF to be influenced by these factors.</w:t>
      </w:r>
    </w:p>
  </w:comment>
  <w:comment w:author="Sparkle Malone" w:id="0" w:date="2026-03-21T02:53:23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-2 for ec label!</w:t>
      </w:r>
    </w:p>
  </w:comment>
  <w:comment w:author="Sparkle Malone" w:id="1" w:date="2026-03-21T02:53:37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 A, B , and C</w:t>
      </w:r>
    </w:p>
  </w:comment>
  <w:comment w:author="Sparkle Malone" w:id="2" w:date="2026-04-01T13:52:24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y to the slope</w:t>
      </w:r>
    </w:p>
  </w:comment>
  <w:comment w:author="Ankur Desai" w:id="9" w:date="2025-10-16T20:55:49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EML metadata editor makes it pretty easy to do so: https://edirepository.org/data/publish-data</w:t>
      </w:r>
    </w:p>
  </w:comment>
  <w:comment w:author="Jonathan Gewirtzman" w:id="3" w:date="2026-04-19T22:29:46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slightly more intuitive if EC is the x axis and GF is y?</w:t>
      </w:r>
    </w:p>
  </w:comment>
  <w:comment w:author="Jonathan Gewirtzman" w:id="4" w:date="2026-04-19T22:31:57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is this the only place where we actually present the calculated fluxes themselves, rather than correlation/assessment statistics?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 would be helpful to have any or all of:</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 table of annual/seasonal/day/night fluxes per site;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plots of distribution of fluxes per site by each method (i.e., overlapping density curves for GF and EC, to show spread/mean within sites);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single scatterplot for all sites (i.e. Fig 9 Panel A but not faceted by site type), to get a sense of overall performance across the whole NEON dataset?</w:t>
      </w:r>
    </w:p>
  </w:comment>
  <w:comment w:author="Jonathan Gewirtzman" w:id="5" w:date="2026-04-19T22:20:05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g CO2 or g C?</w:t>
      </w:r>
    </w:p>
  </w:comment>
  <w:comment w:author="Jonathan Gewirtzman" w:id="6" w:date="2026-04-19T22:22:07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H2O also in g m-2? d-1? if so the values seem very low</w:t>
      </w:r>
    </w:p>
  </w:comment>
  <w:comment w:author="Jonathan Gewirtzman" w:id="7" w:date="2026-04-19T22:23:46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just one site for panel 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ind w:lef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n"/>
      </w:rPr>
    </w:rPrDefault>
    <w:pPrDefault>
      <w:pPr>
        <w:shd w:fill="ffffff" w:val="clea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320" w:line="240" w:lineRule="auto"/>
      <w:ind w:left="180" w:hanging="360"/>
    </w:pPr>
    <w:rPr>
      <w:rFonts w:ascii="Times" w:cs="Times" w:eastAsia="Times" w:hAnsi="Times"/>
      <w:color w:val="666666"/>
      <w:sz w:val="30"/>
      <w:szCs w:val="30"/>
    </w:rPr>
  </w:style>
  <w:style w:type="paragraph" w:styleId="Heading2">
    <w:name w:val="heading 2"/>
    <w:basedOn w:val="Normal"/>
    <w:next w:val="Normal"/>
    <w:pPr>
      <w:keepNext w:val="1"/>
      <w:keepLines w:val="1"/>
      <w:shd w:fill="ffffff" w:val="clear"/>
      <w:spacing w:after="240" w:before="240" w:line="240" w:lineRule="auto"/>
      <w:ind w:left="180" w:hanging="360"/>
    </w:pPr>
    <w:rPr>
      <w:rFonts w:ascii="Times" w:cs="Times" w:eastAsia="Times" w:hAnsi="Times"/>
      <w:i w:val="1"/>
      <w:iCs w:val="1"/>
      <w:color w:val="666666"/>
      <w:sz w:val="24"/>
      <w:szCs w:val="24"/>
    </w:rPr>
  </w:style>
  <w:style w:type="paragraph" w:styleId="Heading3">
    <w:name w:val="heading 3"/>
    <w:basedOn w:val="Normal"/>
    <w:next w:val="Normal"/>
    <w:pPr>
      <w:keepNext w:val="1"/>
      <w:keepLines w:val="1"/>
      <w:spacing w:after="240" w:before="240" w:line="240" w:lineRule="auto"/>
      <w:ind w:firstLine="20"/>
    </w:pPr>
    <w:rPr>
      <w:rFonts w:ascii="Times" w:cs="Times" w:eastAsia="Times" w:hAnsi="Times"/>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hd w:fill="ffffff" w:val="clear"/>
      <w:spacing w:after="320" w:line="240" w:lineRule="auto"/>
      <w:ind w:left="180" w:hanging="360"/>
    </w:pPr>
    <w:rPr>
      <w:rFonts w:ascii="Times" w:cs="Times" w:eastAsia="Times" w:hAnsi="Times"/>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190" Type="http://schemas.openxmlformats.org/officeDocument/2006/relationships/hyperlink" Target="http://paperpile.com/b/6XrWzO/tmO7" TargetMode="External"/><Relationship Id="rId42" Type="http://schemas.openxmlformats.org/officeDocument/2006/relationships/hyperlink" Target="https://paperpile.com/c/6XrWzO/fPTt" TargetMode="External"/><Relationship Id="rId41" Type="http://schemas.openxmlformats.org/officeDocument/2006/relationships/hyperlink" Target="https://paperpile.com/c/6XrWzO/69cf" TargetMode="External"/><Relationship Id="rId44" Type="http://schemas.openxmlformats.org/officeDocument/2006/relationships/hyperlink" Target="https://paperpile.com/c/6XrWzO/XD2Z" TargetMode="External"/><Relationship Id="rId194" Type="http://schemas.openxmlformats.org/officeDocument/2006/relationships/hyperlink" Target="http://paperpile.com/b/6XrWzO/twDN" TargetMode="External"/><Relationship Id="rId43" Type="http://schemas.openxmlformats.org/officeDocument/2006/relationships/hyperlink" Target="https://paperpile.com/c/6XrWzO/7hpy+w7Td" TargetMode="External"/><Relationship Id="rId193" Type="http://schemas.openxmlformats.org/officeDocument/2006/relationships/hyperlink" Target="http://paperpile.com/b/6XrWzO/BN83" TargetMode="External"/><Relationship Id="rId46" Type="http://schemas.openxmlformats.org/officeDocument/2006/relationships/hyperlink" Target="https://paperpile.com/c/6XrWzO/AKsF" TargetMode="External"/><Relationship Id="rId192" Type="http://schemas.openxmlformats.org/officeDocument/2006/relationships/hyperlink" Target="http://dx.doi.org/10.1007/bf00116411" TargetMode="External"/><Relationship Id="rId45" Type="http://schemas.openxmlformats.org/officeDocument/2006/relationships/hyperlink" Target="https://paperpile.com/c/6XrWzO/x6Ox" TargetMode="External"/><Relationship Id="rId191" Type="http://schemas.openxmlformats.org/officeDocument/2006/relationships/hyperlink" Target="http://paperpile.com/b/6XrWzO/BN83" TargetMode="External"/><Relationship Id="rId48" Type="http://schemas.openxmlformats.org/officeDocument/2006/relationships/hyperlink" Target="https://paperpile.com/c/6XrWzO/CMUj" TargetMode="External"/><Relationship Id="rId187" Type="http://schemas.openxmlformats.org/officeDocument/2006/relationships/hyperlink" Target="http://paperpile.com/b/6XrWzO/z8Rl" TargetMode="External"/><Relationship Id="rId47" Type="http://schemas.openxmlformats.org/officeDocument/2006/relationships/hyperlink" Target="https://paperpile.com/c/6XrWzO/7Cp0" TargetMode="External"/><Relationship Id="rId186" Type="http://schemas.openxmlformats.org/officeDocument/2006/relationships/hyperlink" Target="http://dx.doi.org/10.1016/s1352-2310(98)00271-4" TargetMode="External"/><Relationship Id="rId185" Type="http://schemas.openxmlformats.org/officeDocument/2006/relationships/hyperlink" Target="http://paperpile.com/b/6XrWzO/z8Rl" TargetMode="External"/><Relationship Id="rId49" Type="http://schemas.openxmlformats.org/officeDocument/2006/relationships/hyperlink" Target="https://paperpile.com/c/6XrWzO/TrJ5+9Rat+cC8x+B5e9" TargetMode="External"/><Relationship Id="rId184" Type="http://schemas.openxmlformats.org/officeDocument/2006/relationships/hyperlink" Target="http://paperpile.com/b/6XrWzO/6DK0" TargetMode="External"/><Relationship Id="rId189" Type="http://schemas.openxmlformats.org/officeDocument/2006/relationships/hyperlink" Target="http://dx.doi.org/10.1007/s10546-020-00531-y" TargetMode="External"/><Relationship Id="rId188" Type="http://schemas.openxmlformats.org/officeDocument/2006/relationships/hyperlink" Target="http://paperpile.com/b/6XrWzO/tmO7" TargetMode="External"/><Relationship Id="rId31" Type="http://schemas.openxmlformats.org/officeDocument/2006/relationships/hyperlink" Target="https://paperpile.com/c/6XrWzO/5Ssp+qrdb+CHQJ" TargetMode="External"/><Relationship Id="rId30" Type="http://schemas.openxmlformats.org/officeDocument/2006/relationships/hyperlink" Target="https://paperpile.com/c/6XrWzO/twDN" TargetMode="External"/><Relationship Id="rId33" Type="http://schemas.openxmlformats.org/officeDocument/2006/relationships/hyperlink" Target="https://paperpile.com/c/6XrWzO/mJgv" TargetMode="External"/><Relationship Id="rId183" Type="http://schemas.openxmlformats.org/officeDocument/2006/relationships/hyperlink" Target="http://dx.doi.org/10.1016/j.agrformet.2004.11.006" TargetMode="External"/><Relationship Id="rId32" Type="http://schemas.openxmlformats.org/officeDocument/2006/relationships/hyperlink" Target="https://paperpile.com/c/6XrWzO/5j9z" TargetMode="External"/><Relationship Id="rId182" Type="http://schemas.openxmlformats.org/officeDocument/2006/relationships/hyperlink" Target="http://paperpile.com/b/6XrWzO/6DK0" TargetMode="External"/><Relationship Id="rId35" Type="http://schemas.openxmlformats.org/officeDocument/2006/relationships/image" Target="media/image18.png"/><Relationship Id="rId181" Type="http://schemas.openxmlformats.org/officeDocument/2006/relationships/hyperlink" Target="http://paperpile.com/b/6XrWzO/1meW" TargetMode="External"/><Relationship Id="rId34" Type="http://schemas.openxmlformats.org/officeDocument/2006/relationships/image" Target="media/image12.png"/><Relationship Id="rId180" Type="http://schemas.openxmlformats.org/officeDocument/2006/relationships/hyperlink" Target="http://dx.doi.org/10.5194/gmd-5-1471-2012" TargetMode="External"/><Relationship Id="rId37" Type="http://schemas.openxmlformats.org/officeDocument/2006/relationships/image" Target="media/image21.png"/><Relationship Id="rId176" Type="http://schemas.openxmlformats.org/officeDocument/2006/relationships/hyperlink" Target="http://paperpile.com/b/6XrWzO/B5e9" TargetMode="External"/><Relationship Id="rId297" Type="http://schemas.openxmlformats.org/officeDocument/2006/relationships/hyperlink" Target="http://paperpile.com/b/6XrWzO/kaUd" TargetMode="External"/><Relationship Id="rId36" Type="http://schemas.openxmlformats.org/officeDocument/2006/relationships/image" Target="media/image16.png"/><Relationship Id="rId175" Type="http://schemas.openxmlformats.org/officeDocument/2006/relationships/hyperlink" Target="http://paperpile.com/b/6XrWzO/PCOPY" TargetMode="External"/><Relationship Id="rId296" Type="http://schemas.openxmlformats.org/officeDocument/2006/relationships/hyperlink" Target="http://dx.doi.org/10.1175/1520-0450(1977)016%3C0514:SWSMIP%3E2.0.CO;2" TargetMode="External"/><Relationship Id="rId39" Type="http://schemas.openxmlformats.org/officeDocument/2006/relationships/image" Target="media/image23.png"/><Relationship Id="rId174" Type="http://schemas.openxmlformats.org/officeDocument/2006/relationships/hyperlink" Target="http://paperpile.com/b/6XrWzO/NpGz" TargetMode="External"/><Relationship Id="rId295" Type="http://schemas.openxmlformats.org/officeDocument/2006/relationships/hyperlink" Target="http://paperpile.com/b/6XrWzO/kaUd" TargetMode="External"/><Relationship Id="rId38" Type="http://schemas.openxmlformats.org/officeDocument/2006/relationships/image" Target="media/image24.png"/><Relationship Id="rId173" Type="http://schemas.openxmlformats.org/officeDocument/2006/relationships/hyperlink" Target="http://dx.doi.org/10.1002/qj.49710443915" TargetMode="External"/><Relationship Id="rId294" Type="http://schemas.openxmlformats.org/officeDocument/2006/relationships/hyperlink" Target="http://paperpile.com/b/6XrWzO/7Cp0" TargetMode="External"/><Relationship Id="rId179" Type="http://schemas.openxmlformats.org/officeDocument/2006/relationships/hyperlink" Target="http://paperpile.com/b/6XrWzO/1meW" TargetMode="External"/><Relationship Id="rId178" Type="http://schemas.openxmlformats.org/officeDocument/2006/relationships/hyperlink" Target="http://paperpile.com/b/6XrWzO/B5e9" TargetMode="External"/><Relationship Id="rId299" Type="http://schemas.openxmlformats.org/officeDocument/2006/relationships/hyperlink" Target="http://dx.doi.org/10.1029/94jd03326" TargetMode="External"/><Relationship Id="rId177" Type="http://schemas.openxmlformats.org/officeDocument/2006/relationships/hyperlink" Target="http://dx.doi.org/10.1016/s1352-2310(02)00139-5" TargetMode="External"/><Relationship Id="rId298" Type="http://schemas.openxmlformats.org/officeDocument/2006/relationships/hyperlink" Target="http://paperpile.com/b/6XrWzO/aQXz" TargetMode="External"/><Relationship Id="rId20" Type="http://schemas.openxmlformats.org/officeDocument/2006/relationships/hyperlink" Target="https://paperpile.com/c/6XrWzO/QnQ4" TargetMode="External"/><Relationship Id="rId22" Type="http://schemas.openxmlformats.org/officeDocument/2006/relationships/hyperlink" Target="https://paperpile.com/c/6XrWzO/tmO7" TargetMode="External"/><Relationship Id="rId21" Type="http://schemas.openxmlformats.org/officeDocument/2006/relationships/hyperlink" Target="https://paperpile.com/c/6XrWzO/1meW+hHN4+dcX9+Wlpi+mAGy" TargetMode="External"/><Relationship Id="rId24" Type="http://schemas.openxmlformats.org/officeDocument/2006/relationships/hyperlink" Target="https://paperpile.com/c/6XrWzO/4Uqx+PjOf+0Jq3" TargetMode="External"/><Relationship Id="rId23" Type="http://schemas.openxmlformats.org/officeDocument/2006/relationships/hyperlink" Target="https://paperpile.com/c/6XrWzO/dgJr+Mev0+hfie" TargetMode="External"/><Relationship Id="rId26" Type="http://schemas.openxmlformats.org/officeDocument/2006/relationships/hyperlink" Target="https://paperpile.com/c/6XrWzO/uB5I" TargetMode="External"/><Relationship Id="rId25" Type="http://schemas.openxmlformats.org/officeDocument/2006/relationships/hyperlink" Target="https://paperpile.com/c/6XrWzO/5j9z+uB5I+e7T7+PjOf" TargetMode="External"/><Relationship Id="rId28" Type="http://schemas.openxmlformats.org/officeDocument/2006/relationships/hyperlink" Target="https://paperpile.com/c/6XrWzO/eizJ" TargetMode="External"/><Relationship Id="rId27" Type="http://schemas.openxmlformats.org/officeDocument/2006/relationships/hyperlink" Target="https://paperpile.com/c/6XrWzO/gfbp+4Ayv" TargetMode="External"/><Relationship Id="rId29" Type="http://schemas.openxmlformats.org/officeDocument/2006/relationships/hyperlink" Target="https://paperpile.com/c/6XrWzO/4Uqx" TargetMode="External"/><Relationship Id="rId11" Type="http://schemas.openxmlformats.org/officeDocument/2006/relationships/hyperlink" Target="https://fluxnet.org/wp-content/uploads/FluxLetter-Vol5-no2b.pdf?utm_source=chatgpt.com" TargetMode="External"/><Relationship Id="rId10" Type="http://schemas.openxmlformats.org/officeDocument/2006/relationships/hyperlink" Target="https://paperpile.com/c/6XrWzO/7U9f" TargetMode="External"/><Relationship Id="rId13" Type="http://schemas.openxmlformats.org/officeDocument/2006/relationships/hyperlink" Target="https://nature.berkeley.edu/biometlab/espm228/Lecture_2_Notes_ESPM_228_Flux_Gradient_Theory_v2014.pdf?utm_source=chatgpt.com" TargetMode="External"/><Relationship Id="rId12" Type="http://schemas.openxmlformats.org/officeDocument/2006/relationships/hyperlink" Target="https://paperpile.com/c/6XrWzO/7U9f+ReuA+sVUG" TargetMode="External"/><Relationship Id="rId15" Type="http://schemas.openxmlformats.org/officeDocument/2006/relationships/hyperlink" Target="https://paperpile.com/c/6XrWzO/VBIc" TargetMode="External"/><Relationship Id="rId198" Type="http://schemas.openxmlformats.org/officeDocument/2006/relationships/hyperlink" Target="http://dx.doi.org/10.3390/atmos11101067" TargetMode="External"/><Relationship Id="rId14" Type="http://schemas.openxmlformats.org/officeDocument/2006/relationships/hyperlink" Target="https://paperpile.com/c/6XrWzO/5Ssp+qrdb+CHQJ" TargetMode="External"/><Relationship Id="rId197" Type="http://schemas.openxmlformats.org/officeDocument/2006/relationships/hyperlink" Target="http://paperpile.com/b/6XrWzO/TrJ5" TargetMode="External"/><Relationship Id="rId17" Type="http://schemas.openxmlformats.org/officeDocument/2006/relationships/hyperlink" Target="https://paperpile.com/c/6XrWzO/QnQ4+TGVp" TargetMode="External"/><Relationship Id="rId196" Type="http://schemas.openxmlformats.org/officeDocument/2006/relationships/hyperlink" Target="http://paperpile.com/b/6XrWzO/twDN" TargetMode="External"/><Relationship Id="rId16" Type="http://schemas.openxmlformats.org/officeDocument/2006/relationships/hyperlink" Target="https://paperpile.com/c/6XrWzO/VBIc" TargetMode="External"/><Relationship Id="rId195" Type="http://schemas.openxmlformats.org/officeDocument/2006/relationships/hyperlink" Target="http://dx.doi.org/10.1023/a:1001774726067" TargetMode="External"/><Relationship Id="rId19" Type="http://schemas.openxmlformats.org/officeDocument/2006/relationships/hyperlink" Target="https://paperpile.com/c/6XrWzO/QnQ4" TargetMode="External"/><Relationship Id="rId18" Type="http://schemas.openxmlformats.org/officeDocument/2006/relationships/hyperlink" Target="https://paperpile.com/c/6XrWzO/TGVp" TargetMode="External"/><Relationship Id="rId199" Type="http://schemas.openxmlformats.org/officeDocument/2006/relationships/hyperlink" Target="http://paperpile.com/b/6XrWzO/TrJ5" TargetMode="External"/><Relationship Id="rId84" Type="http://schemas.openxmlformats.org/officeDocument/2006/relationships/image" Target="media/image17.png"/><Relationship Id="rId83" Type="http://schemas.openxmlformats.org/officeDocument/2006/relationships/image" Target="media/image22.png"/><Relationship Id="rId86" Type="http://schemas.openxmlformats.org/officeDocument/2006/relationships/image" Target="media/image2.png"/><Relationship Id="rId85" Type="http://schemas.openxmlformats.org/officeDocument/2006/relationships/image" Target="media/image20.png"/><Relationship Id="rId88" Type="http://schemas.openxmlformats.org/officeDocument/2006/relationships/image" Target="media/image7.png"/><Relationship Id="rId150" Type="http://schemas.openxmlformats.org/officeDocument/2006/relationships/hyperlink" Target="http://paperpile.com/b/6XrWzO/7hpy" TargetMode="External"/><Relationship Id="rId271" Type="http://schemas.openxmlformats.org/officeDocument/2006/relationships/hyperlink" Target="http://paperpile.com/b/6XrWzO/HSEd" TargetMode="External"/><Relationship Id="rId87" Type="http://schemas.openxmlformats.org/officeDocument/2006/relationships/image" Target="media/image3.png"/><Relationship Id="rId270" Type="http://schemas.openxmlformats.org/officeDocument/2006/relationships/hyperlink" Target="http://dx.doi.org/10.1073/pnas.2105477118" TargetMode="External"/><Relationship Id="rId89" Type="http://schemas.openxmlformats.org/officeDocument/2006/relationships/image" Target="media/image13.png"/><Relationship Id="rId80" Type="http://schemas.openxmlformats.org/officeDocument/2006/relationships/image" Target="media/image15.png"/><Relationship Id="rId82" Type="http://schemas.openxmlformats.org/officeDocument/2006/relationships/image" Target="media/image1.png"/><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dx.doi.org/10.1175/1520-0426(1986)003%3C0051:ANFTRI%3E2.0.CO;2" TargetMode="External"/><Relationship Id="rId4" Type="http://schemas.openxmlformats.org/officeDocument/2006/relationships/fontTable" Target="fontTable.xml"/><Relationship Id="rId148" Type="http://schemas.openxmlformats.org/officeDocument/2006/relationships/hyperlink" Target="http://paperpile.com/b/6XrWzO/7hpy" TargetMode="External"/><Relationship Id="rId269" Type="http://schemas.openxmlformats.org/officeDocument/2006/relationships/hyperlink" Target="http://paperpile.com/b/6XrWzO/HSEd" TargetMode="External"/><Relationship Id="rId9" Type="http://schemas.openxmlformats.org/officeDocument/2006/relationships/hyperlink" Target="https://paperpile.com/c/6XrWzO/QnQ4+TGVp+tmO7" TargetMode="External"/><Relationship Id="rId143" Type="http://schemas.openxmlformats.org/officeDocument/2006/relationships/hyperlink" Target="http://dx.doi.org/10.1029/91jd00269" TargetMode="External"/><Relationship Id="rId264" Type="http://schemas.openxmlformats.org/officeDocument/2006/relationships/hyperlink" Target="http://paperpile.com/b/6XrWzO/gJK9" TargetMode="External"/><Relationship Id="rId142" Type="http://schemas.openxmlformats.org/officeDocument/2006/relationships/hyperlink" Target="http://paperpile.com/b/6XrWzO/XQ0C" TargetMode="External"/><Relationship Id="rId263" Type="http://schemas.openxmlformats.org/officeDocument/2006/relationships/hyperlink" Target="http://paperpile.com/b/6XrWzO/Itk7" TargetMode="External"/><Relationship Id="rId141" Type="http://schemas.openxmlformats.org/officeDocument/2006/relationships/hyperlink" Target="http://paperpile.com/b/6XrWzO/XQ0C" TargetMode="External"/><Relationship Id="rId262" Type="http://schemas.openxmlformats.org/officeDocument/2006/relationships/hyperlink" Target="http://paperpile.com/b/6XrWzO/BA9H" TargetMode="External"/><Relationship Id="rId140" Type="http://schemas.openxmlformats.org/officeDocument/2006/relationships/hyperlink" Target="http://paperpile.com/b/6XrWzO/XQ0C" TargetMode="External"/><Relationship Id="rId261" Type="http://schemas.openxmlformats.org/officeDocument/2006/relationships/hyperlink" Target="http://paperpile.com/b/6XrWzO/EpfC" TargetMode="External"/><Relationship Id="rId5" Type="http://schemas.openxmlformats.org/officeDocument/2006/relationships/numbering" Target="numbering.xml"/><Relationship Id="rId147" Type="http://schemas.openxmlformats.org/officeDocument/2006/relationships/hyperlink" Target="http://paperpile.com/b/6XrWzO/PjOf" TargetMode="External"/><Relationship Id="rId268" Type="http://schemas.openxmlformats.org/officeDocument/2006/relationships/hyperlink" Target="http://paperpile.com/b/6XrWzO/456u" TargetMode="External"/><Relationship Id="rId6" Type="http://schemas.openxmlformats.org/officeDocument/2006/relationships/styles" Target="styles.xml"/><Relationship Id="rId146" Type="http://schemas.openxmlformats.org/officeDocument/2006/relationships/hyperlink" Target="http://dx.doi.org/10.5194/acp-16-5315-2016" TargetMode="External"/><Relationship Id="rId267" Type="http://schemas.openxmlformats.org/officeDocument/2006/relationships/hyperlink" Target="http://paperpile.com/b/6XrWzO/d4Je" TargetMode="External"/><Relationship Id="rId7" Type="http://schemas.openxmlformats.org/officeDocument/2006/relationships/hyperlink" Target="https://www.earth-system-science-data.net/" TargetMode="External"/><Relationship Id="rId145" Type="http://schemas.openxmlformats.org/officeDocument/2006/relationships/hyperlink" Target="http://paperpile.com/b/6XrWzO/PjOf" TargetMode="External"/><Relationship Id="rId266" Type="http://schemas.openxmlformats.org/officeDocument/2006/relationships/hyperlink" Target="http://paperpile.com/b/6XrWzO/eHXf" TargetMode="External"/><Relationship Id="rId8" Type="http://schemas.openxmlformats.org/officeDocument/2006/relationships/hyperlink" Target="https://fluxnet.org/wp-content/uploads/FluxLetter-Vol5-no2b.pdf?utm_source=chatgpt.com" TargetMode="External"/><Relationship Id="rId144" Type="http://schemas.openxmlformats.org/officeDocument/2006/relationships/hyperlink" Target="http://paperpile.com/b/6XrWzO/XQ0C" TargetMode="External"/><Relationship Id="rId265" Type="http://schemas.openxmlformats.org/officeDocument/2006/relationships/hyperlink" Target="http://paperpile.com/b/6XrWzO/ba7u" TargetMode="External"/><Relationship Id="rId73" Type="http://schemas.openxmlformats.org/officeDocument/2006/relationships/hyperlink" Target="https://paperpile.com/c/6XrWzO/mKFm" TargetMode="External"/><Relationship Id="rId72" Type="http://schemas.openxmlformats.org/officeDocument/2006/relationships/hyperlink" Target="https://paperpile.com/c/6XrWzO/tSCt+I6ME" TargetMode="External"/><Relationship Id="rId75" Type="http://schemas.openxmlformats.org/officeDocument/2006/relationships/hyperlink" Target="https://paperpile.com/c/6XrWzO/PCOPY" TargetMode="External"/><Relationship Id="rId74" Type="http://schemas.openxmlformats.org/officeDocument/2006/relationships/hyperlink" Target="https://paperpile.com/c/6XrWzO/69cf" TargetMode="External"/><Relationship Id="rId77" Type="http://schemas.openxmlformats.org/officeDocument/2006/relationships/hyperlink" Target="https://paperpile.com/c/6XrWzO/FK7oa+NbMm4" TargetMode="External"/><Relationship Id="rId260" Type="http://schemas.openxmlformats.org/officeDocument/2006/relationships/hyperlink" Target="http://paperpile.com/b/6XrWzO/9Rat" TargetMode="External"/><Relationship Id="rId76" Type="http://schemas.openxmlformats.org/officeDocument/2006/relationships/hyperlink" Target="https://paperpile.com/c/6XrWzO/PCOPY" TargetMode="External"/><Relationship Id="rId79" Type="http://schemas.openxmlformats.org/officeDocument/2006/relationships/hyperlink" Target="https://paperpile.com/c/6XrWzO/WuAy" TargetMode="External"/><Relationship Id="rId78" Type="http://schemas.openxmlformats.org/officeDocument/2006/relationships/hyperlink" Target="https://paperpile.com/c/6XrWzO/69cf" TargetMode="External"/><Relationship Id="rId71" Type="http://schemas.openxmlformats.org/officeDocument/2006/relationships/hyperlink" Target="https://paperpile.com/c/6XrWzO/810t" TargetMode="External"/><Relationship Id="rId70" Type="http://schemas.openxmlformats.org/officeDocument/2006/relationships/hyperlink" Target="https://paperpile.com/c/6XrWzO/6DK0" TargetMode="External"/><Relationship Id="rId139" Type="http://schemas.openxmlformats.org/officeDocument/2006/relationships/hyperlink" Target="http://paperpile.com/b/6XrWzO/TGVp" TargetMode="External"/><Relationship Id="rId138" Type="http://schemas.openxmlformats.org/officeDocument/2006/relationships/hyperlink" Target="http://paperpile.com/b/6XrWzO/uatZ" TargetMode="External"/><Relationship Id="rId259" Type="http://schemas.openxmlformats.org/officeDocument/2006/relationships/hyperlink" Target="http://dx.doi.org/10.1016/j.agrformet.2018.10.003" TargetMode="External"/><Relationship Id="rId137" Type="http://schemas.openxmlformats.org/officeDocument/2006/relationships/hyperlink" Target="http://dx.doi.org/10.1016/S0168-1923(97)00072-5" TargetMode="External"/><Relationship Id="rId258" Type="http://schemas.openxmlformats.org/officeDocument/2006/relationships/hyperlink" Target="http://paperpile.com/b/6XrWzO/9Rat" TargetMode="External"/><Relationship Id="rId132" Type="http://schemas.openxmlformats.org/officeDocument/2006/relationships/hyperlink" Target="http://paperpile.com/b/6XrWzO/8msG" TargetMode="External"/><Relationship Id="rId253" Type="http://schemas.openxmlformats.org/officeDocument/2006/relationships/hyperlink" Target="http://paperpile.com/b/6XrWzO/st3V" TargetMode="External"/><Relationship Id="rId131" Type="http://schemas.openxmlformats.org/officeDocument/2006/relationships/hyperlink" Target="http://dx.doi.org/10.1007/bf00120463" TargetMode="External"/><Relationship Id="rId252" Type="http://schemas.openxmlformats.org/officeDocument/2006/relationships/hyperlink" Target="http://dx.doi.org/10.1016/s0168-1923(99)00131-8" TargetMode="External"/><Relationship Id="rId130" Type="http://schemas.openxmlformats.org/officeDocument/2006/relationships/hyperlink" Target="http://paperpile.com/b/6XrWzO/8msG" TargetMode="External"/><Relationship Id="rId251" Type="http://schemas.openxmlformats.org/officeDocument/2006/relationships/hyperlink" Target="http://paperpile.com/b/6XrWzO/st3V" TargetMode="External"/><Relationship Id="rId250" Type="http://schemas.openxmlformats.org/officeDocument/2006/relationships/hyperlink" Target="http://paperpile.com/b/6XrWzO/Ud5s" TargetMode="External"/><Relationship Id="rId136" Type="http://schemas.openxmlformats.org/officeDocument/2006/relationships/hyperlink" Target="http://paperpile.com/b/6XrWzO/uatZ" TargetMode="External"/><Relationship Id="rId257" Type="http://schemas.openxmlformats.org/officeDocument/2006/relationships/hyperlink" Target="http://paperpile.com/b/6XrWzO/gfbp" TargetMode="External"/><Relationship Id="rId135" Type="http://schemas.openxmlformats.org/officeDocument/2006/relationships/hyperlink" Target="http://paperpile.com/b/6XrWzO/QnQ4" TargetMode="External"/><Relationship Id="rId256" Type="http://schemas.openxmlformats.org/officeDocument/2006/relationships/hyperlink" Target="http://paperpile.com/b/6XrWzO/LKok" TargetMode="External"/><Relationship Id="rId134" Type="http://schemas.openxmlformats.org/officeDocument/2006/relationships/hyperlink" Target="http://dx.doi.org/10.1111/gcb.12649" TargetMode="External"/><Relationship Id="rId255" Type="http://schemas.openxmlformats.org/officeDocument/2006/relationships/hyperlink" Target="http://dx.doi.org/10.1016/S0022-1694(96)03194-0" TargetMode="External"/><Relationship Id="rId133" Type="http://schemas.openxmlformats.org/officeDocument/2006/relationships/hyperlink" Target="http://paperpile.com/b/6XrWzO/QnQ4" TargetMode="External"/><Relationship Id="rId254" Type="http://schemas.openxmlformats.org/officeDocument/2006/relationships/hyperlink" Target="http://paperpile.com/b/6XrWzO/LKok" TargetMode="External"/><Relationship Id="rId62" Type="http://schemas.openxmlformats.org/officeDocument/2006/relationships/hyperlink" Target="https://paperpile.com/c/6XrWzO/LKok" TargetMode="External"/><Relationship Id="rId61" Type="http://schemas.openxmlformats.org/officeDocument/2006/relationships/hyperlink" Target="https://paperpile.com/c/6XrWzO/Ud5s" TargetMode="External"/><Relationship Id="rId64" Type="http://schemas.openxmlformats.org/officeDocument/2006/relationships/hyperlink" Target="https://paperpile.com/c/6XrWzO/5j9z" TargetMode="External"/><Relationship Id="rId63" Type="http://schemas.openxmlformats.org/officeDocument/2006/relationships/hyperlink" Target="https://paperpile.com/c/6XrWzO/4Uqx+zC5l" TargetMode="External"/><Relationship Id="rId66" Type="http://schemas.openxmlformats.org/officeDocument/2006/relationships/hyperlink" Target="https://paperpile.com/c/6XrWzO/HSEd" TargetMode="External"/><Relationship Id="rId172" Type="http://schemas.openxmlformats.org/officeDocument/2006/relationships/hyperlink" Target="http://paperpile.com/b/6XrWzO/NpGz" TargetMode="External"/><Relationship Id="rId293" Type="http://schemas.openxmlformats.org/officeDocument/2006/relationships/hyperlink" Target="http://dx.doi.org/10.1007/bf00164332" TargetMode="External"/><Relationship Id="rId65" Type="http://schemas.openxmlformats.org/officeDocument/2006/relationships/hyperlink" Target="https://paperpile.com/c/6XrWzO/S5HM" TargetMode="External"/><Relationship Id="rId171" Type="http://schemas.openxmlformats.org/officeDocument/2006/relationships/hyperlink" Target="http://paperpile.com/b/6XrWzO/BcFv" TargetMode="External"/><Relationship Id="rId292" Type="http://schemas.openxmlformats.org/officeDocument/2006/relationships/hyperlink" Target="http://paperpile.com/b/6XrWzO/7Cp0" TargetMode="External"/><Relationship Id="rId68" Type="http://schemas.openxmlformats.org/officeDocument/2006/relationships/hyperlink" Target="https://paperpile.com/c/6XrWzO/ntsx" TargetMode="External"/><Relationship Id="rId170" Type="http://schemas.openxmlformats.org/officeDocument/2006/relationships/hyperlink" Target="http://dx.doi.org/10.1016/j.agrformet.2004.07.015" TargetMode="External"/><Relationship Id="rId291" Type="http://schemas.openxmlformats.org/officeDocument/2006/relationships/hyperlink" Target="http://paperpile.com/b/6XrWzO/mAGy" TargetMode="External"/><Relationship Id="rId67" Type="http://schemas.openxmlformats.org/officeDocument/2006/relationships/hyperlink" Target="https://paperpile.com/c/6XrWzO/Ryxp" TargetMode="External"/><Relationship Id="rId290" Type="http://schemas.openxmlformats.org/officeDocument/2006/relationships/hyperlink" Target="http://dx.doi.org/10.1016/j.agrformet.2025.110686" TargetMode="External"/><Relationship Id="rId60" Type="http://schemas.openxmlformats.org/officeDocument/2006/relationships/hyperlink" Target="https://paperpile.com/c/6XrWzO/BcFv" TargetMode="External"/><Relationship Id="rId165" Type="http://schemas.openxmlformats.org/officeDocument/2006/relationships/hyperlink" Target="http://paperpile.com/b/6XrWzO/4Ayv" TargetMode="External"/><Relationship Id="rId286" Type="http://schemas.openxmlformats.org/officeDocument/2006/relationships/hyperlink" Target="http://paperpile.com/b/6XrWzO/AKsF" TargetMode="External"/><Relationship Id="rId69" Type="http://schemas.openxmlformats.org/officeDocument/2006/relationships/hyperlink" Target="https://paperpile.com/c/6XrWzO/6DK0" TargetMode="External"/><Relationship Id="rId164" Type="http://schemas.openxmlformats.org/officeDocument/2006/relationships/hyperlink" Target="http://dx.doi.org/10.1002/qj.49709641012" TargetMode="External"/><Relationship Id="rId285" Type="http://schemas.openxmlformats.org/officeDocument/2006/relationships/hyperlink" Target="http://paperpile.com/b/6XrWzO/NbMm4" TargetMode="External"/><Relationship Id="rId163" Type="http://schemas.openxmlformats.org/officeDocument/2006/relationships/hyperlink" Target="http://paperpile.com/b/6XrWzO/4Ayv" TargetMode="External"/><Relationship Id="rId284" Type="http://schemas.openxmlformats.org/officeDocument/2006/relationships/hyperlink" Target="http://paperpile.com/b/6XrWzO/kcbJ" TargetMode="External"/><Relationship Id="rId162" Type="http://schemas.openxmlformats.org/officeDocument/2006/relationships/hyperlink" Target="http://paperpile.com/b/6XrWzO/jyRE" TargetMode="External"/><Relationship Id="rId283" Type="http://schemas.openxmlformats.org/officeDocument/2006/relationships/hyperlink" Target="http://dx.doi.org/10.1146/annurev.fl.13.010181.000525" TargetMode="External"/><Relationship Id="rId169" Type="http://schemas.openxmlformats.org/officeDocument/2006/relationships/hyperlink" Target="http://paperpile.com/b/6XrWzO/BcFv" TargetMode="External"/><Relationship Id="rId168" Type="http://schemas.openxmlformats.org/officeDocument/2006/relationships/hyperlink" Target="http://paperpile.com/b/6XrWzO/kaW6" TargetMode="External"/><Relationship Id="rId289" Type="http://schemas.openxmlformats.org/officeDocument/2006/relationships/hyperlink" Target="http://paperpile.com/b/6XrWzO/mAGy" TargetMode="External"/><Relationship Id="rId167" Type="http://schemas.openxmlformats.org/officeDocument/2006/relationships/hyperlink" Target="http://dx.doi.org/10.1016/s0168-1923(02)00166-1" TargetMode="External"/><Relationship Id="rId288" Type="http://schemas.openxmlformats.org/officeDocument/2006/relationships/hyperlink" Target="http://paperpile.com/b/6XrWzO/AKsF" TargetMode="External"/><Relationship Id="rId166" Type="http://schemas.openxmlformats.org/officeDocument/2006/relationships/hyperlink" Target="http://paperpile.com/b/6XrWzO/kaW6" TargetMode="External"/><Relationship Id="rId287" Type="http://schemas.openxmlformats.org/officeDocument/2006/relationships/hyperlink" Target="http://dx.doi.org/10.1007/978-94-007-2351-1_3" TargetMode="External"/><Relationship Id="rId51" Type="http://schemas.openxmlformats.org/officeDocument/2006/relationships/hyperlink" Target="https://paperpile.com/c/6XrWzO/d4Je" TargetMode="External"/><Relationship Id="rId50" Type="http://schemas.openxmlformats.org/officeDocument/2006/relationships/hyperlink" Target="https://paperpile.com/c/6XrWzO/z8Rl" TargetMode="External"/><Relationship Id="rId53" Type="http://schemas.openxmlformats.org/officeDocument/2006/relationships/hyperlink" Target="https://paperpile.com/c/6XrWzO/eHXf" TargetMode="External"/><Relationship Id="rId52" Type="http://schemas.openxmlformats.org/officeDocument/2006/relationships/hyperlink" Target="https://paperpile.com/c/6XrWzO/EpfC" TargetMode="External"/><Relationship Id="rId55" Type="http://schemas.openxmlformats.org/officeDocument/2006/relationships/hyperlink" Target="https://paperpile.com/c/6XrWzO/456u" TargetMode="External"/><Relationship Id="rId161" Type="http://schemas.openxmlformats.org/officeDocument/2006/relationships/hyperlink" Target="http://dx.doi.org/10.1007/978-94-009-5305-5_27" TargetMode="External"/><Relationship Id="rId282" Type="http://schemas.openxmlformats.org/officeDocument/2006/relationships/hyperlink" Target="http://paperpile.com/b/6XrWzO/kcbJ" TargetMode="External"/><Relationship Id="rId54" Type="http://schemas.openxmlformats.org/officeDocument/2006/relationships/hyperlink" Target="https://paperpile.com/c/6XrWzO/BA9H" TargetMode="External"/><Relationship Id="rId160" Type="http://schemas.openxmlformats.org/officeDocument/2006/relationships/hyperlink" Target="http://paperpile.com/b/6XrWzO/jyRE" TargetMode="External"/><Relationship Id="rId281" Type="http://schemas.openxmlformats.org/officeDocument/2006/relationships/hyperlink" Target="http://paperpile.com/b/6XrWzO/qrdb" TargetMode="External"/><Relationship Id="rId57" Type="http://schemas.openxmlformats.org/officeDocument/2006/relationships/hyperlink" Target="https://paperpile.com/c/6XrWzO/Itk7" TargetMode="External"/><Relationship Id="rId280" Type="http://schemas.openxmlformats.org/officeDocument/2006/relationships/hyperlink" Target="http://dx.doi.org/10.1016/0378-3774(84)90049-0" TargetMode="External"/><Relationship Id="rId56" Type="http://schemas.openxmlformats.org/officeDocument/2006/relationships/hyperlink" Target="https://paperpile.com/c/6XrWzO/ba7u" TargetMode="External"/><Relationship Id="rId159" Type="http://schemas.openxmlformats.org/officeDocument/2006/relationships/hyperlink" Target="http://paperpile.com/b/6XrWzO/S5HM" TargetMode="External"/><Relationship Id="rId59" Type="http://schemas.openxmlformats.org/officeDocument/2006/relationships/hyperlink" Target="https://paperpile.com/c/6XrWzO/gJK9+69cf" TargetMode="External"/><Relationship Id="rId154" Type="http://schemas.openxmlformats.org/officeDocument/2006/relationships/hyperlink" Target="http://paperpile.com/b/6XrWzO/ReuA" TargetMode="External"/><Relationship Id="rId275" Type="http://schemas.openxmlformats.org/officeDocument/2006/relationships/hyperlink" Target="http://paperpile.com/b/6XrWzO/I6ME" TargetMode="External"/><Relationship Id="rId58" Type="http://schemas.openxmlformats.org/officeDocument/2006/relationships/hyperlink" Target="https://paperpile.com/c/6XrWzO/gJK9" TargetMode="External"/><Relationship Id="rId153" Type="http://schemas.openxmlformats.org/officeDocument/2006/relationships/hyperlink" Target="http://paperpile.com/b/6XrWzO/Ra99" TargetMode="External"/><Relationship Id="rId274" Type="http://schemas.openxmlformats.org/officeDocument/2006/relationships/hyperlink" Target="http://paperpile.com/b/6XrWzO/tSCt" TargetMode="External"/><Relationship Id="rId152" Type="http://schemas.openxmlformats.org/officeDocument/2006/relationships/hyperlink" Target="http://dx.doi.org/10.1016/j.agrformet.2024.110027" TargetMode="External"/><Relationship Id="rId273" Type="http://schemas.openxmlformats.org/officeDocument/2006/relationships/hyperlink" Target="http://dx.doi.org/10.1007/978-981-97-3385-9_11" TargetMode="External"/><Relationship Id="rId151" Type="http://schemas.openxmlformats.org/officeDocument/2006/relationships/hyperlink" Target="http://paperpile.com/b/6XrWzO/Ra99" TargetMode="External"/><Relationship Id="rId272" Type="http://schemas.openxmlformats.org/officeDocument/2006/relationships/hyperlink" Target="http://paperpile.com/b/6XrWzO/tSCt" TargetMode="External"/><Relationship Id="rId158" Type="http://schemas.openxmlformats.org/officeDocument/2006/relationships/hyperlink" Target="http://dx.doi.org/10.1073/pnas.1504131112" TargetMode="External"/><Relationship Id="rId279" Type="http://schemas.openxmlformats.org/officeDocument/2006/relationships/hyperlink" Target="http://paperpile.com/b/6XrWzO/qrdb" TargetMode="External"/><Relationship Id="rId157" Type="http://schemas.openxmlformats.org/officeDocument/2006/relationships/hyperlink" Target="http://paperpile.com/b/6XrWzO/S5HM" TargetMode="External"/><Relationship Id="rId278" Type="http://schemas.openxmlformats.org/officeDocument/2006/relationships/hyperlink" Target="http://paperpile.com/b/6XrWzO/5Ssp" TargetMode="External"/><Relationship Id="rId156" Type="http://schemas.openxmlformats.org/officeDocument/2006/relationships/hyperlink" Target="http://paperpile.com/b/6XrWzO/ReuA" TargetMode="External"/><Relationship Id="rId277" Type="http://schemas.openxmlformats.org/officeDocument/2006/relationships/hyperlink" Target="http://dx.doi.org/10.1007/bf03163564" TargetMode="External"/><Relationship Id="rId155" Type="http://schemas.openxmlformats.org/officeDocument/2006/relationships/hyperlink" Target="http://dx.doi.org/10.1016/0168-1923(92)90113-I" TargetMode="External"/><Relationship Id="rId276" Type="http://schemas.openxmlformats.org/officeDocument/2006/relationships/hyperlink" Target="http://paperpile.com/b/6XrWzO/5Ssp" TargetMode="External"/><Relationship Id="rId107" Type="http://schemas.openxmlformats.org/officeDocument/2006/relationships/hyperlink" Target="https://paperpile.com/c/6XrWzO/5j9z" TargetMode="External"/><Relationship Id="rId228" Type="http://schemas.openxmlformats.org/officeDocument/2006/relationships/hyperlink" Target="http://paperpile.com/b/6XrWzO/810t" TargetMode="External"/><Relationship Id="rId349" Type="http://schemas.openxmlformats.org/officeDocument/2006/relationships/hyperlink" Target="http://paperpile.com/b/6XrWzO/0Jq3" TargetMode="External"/><Relationship Id="rId106" Type="http://schemas.openxmlformats.org/officeDocument/2006/relationships/hyperlink" Target="https://paperpile.com/c/6XrWzO/jyRE" TargetMode="External"/><Relationship Id="rId227" Type="http://schemas.openxmlformats.org/officeDocument/2006/relationships/hyperlink" Target="http://dx.doi.org/10.2307/2532051" TargetMode="External"/><Relationship Id="rId348" Type="http://schemas.openxmlformats.org/officeDocument/2006/relationships/hyperlink" Target="http://paperpile.com/b/6XrWzO/0Jq3" TargetMode="External"/><Relationship Id="rId105" Type="http://schemas.openxmlformats.org/officeDocument/2006/relationships/hyperlink" Target="https://paperpile.com/c/6XrWzO/kaUd+kcbJ+XQ0C+8msG+uatZ+5j9z" TargetMode="External"/><Relationship Id="rId226" Type="http://schemas.openxmlformats.org/officeDocument/2006/relationships/hyperlink" Target="http://paperpile.com/b/6XrWzO/810t" TargetMode="External"/><Relationship Id="rId347" Type="http://schemas.openxmlformats.org/officeDocument/2006/relationships/hyperlink" Target="http://paperpile.com/b/6XrWzO/0Jq3" TargetMode="External"/><Relationship Id="rId104" Type="http://schemas.openxmlformats.org/officeDocument/2006/relationships/hyperlink" Target="https://paperpile.com/c/6XrWzO/5j9z" TargetMode="External"/><Relationship Id="rId225" Type="http://schemas.openxmlformats.org/officeDocument/2006/relationships/hyperlink" Target="http://paperpile.com/b/6XrWzO/FK7oa" TargetMode="External"/><Relationship Id="rId346" Type="http://schemas.openxmlformats.org/officeDocument/2006/relationships/hyperlink" Target="http://paperpile.com/b/6XrWzO/YPyw" TargetMode="External"/><Relationship Id="rId109" Type="http://schemas.openxmlformats.org/officeDocument/2006/relationships/hyperlink" Target="https://paperpile.com/c/6XrWzO/4Uqx+5j9z+cmMq" TargetMode="External"/><Relationship Id="rId108" Type="http://schemas.openxmlformats.org/officeDocument/2006/relationships/hyperlink" Target="https://paperpile.com/c/6XrWzO/5j9z+YPyw+620W" TargetMode="External"/><Relationship Id="rId229" Type="http://schemas.openxmlformats.org/officeDocument/2006/relationships/hyperlink" Target="http://paperpile.com/b/6XrWzO/IV8W" TargetMode="External"/><Relationship Id="rId220" Type="http://schemas.openxmlformats.org/officeDocument/2006/relationships/hyperlink" Target="http://dx.doi.org/10.5194/bg-13-1309-2016" TargetMode="External"/><Relationship Id="rId341" Type="http://schemas.openxmlformats.org/officeDocument/2006/relationships/hyperlink" Target="http://paperpile.com/b/6XrWzO/WuAy" TargetMode="External"/><Relationship Id="rId340" Type="http://schemas.openxmlformats.org/officeDocument/2006/relationships/hyperlink" Target="http://paperpile.com/b/6XrWzO/zC5l" TargetMode="External"/><Relationship Id="rId103" Type="http://schemas.openxmlformats.org/officeDocument/2006/relationships/hyperlink" Target="https://paperpile.com/c/6XrWzO/5j9z" TargetMode="External"/><Relationship Id="rId224" Type="http://schemas.openxmlformats.org/officeDocument/2006/relationships/hyperlink" Target="http://paperpile.com/b/6XrWzO/ntsx" TargetMode="External"/><Relationship Id="rId345" Type="http://schemas.openxmlformats.org/officeDocument/2006/relationships/hyperlink" Target="http://dx.doi.org/10.1016/j.agrformet.2008.01.005" TargetMode="External"/><Relationship Id="rId102" Type="http://schemas.openxmlformats.org/officeDocument/2006/relationships/hyperlink" Target="https://paperpile.com/c/6XrWzO/5j9z" TargetMode="External"/><Relationship Id="rId223" Type="http://schemas.openxmlformats.org/officeDocument/2006/relationships/hyperlink" Target="http://dx.doi.org/10.1007/s13143-018-0024-0" TargetMode="External"/><Relationship Id="rId344" Type="http://schemas.openxmlformats.org/officeDocument/2006/relationships/hyperlink" Target="http://paperpile.com/b/6XrWzO/YPyw" TargetMode="External"/><Relationship Id="rId101" Type="http://schemas.openxmlformats.org/officeDocument/2006/relationships/hyperlink" Target="https://paperpile.com/c/6XrWzO/5j9z" TargetMode="External"/><Relationship Id="rId222" Type="http://schemas.openxmlformats.org/officeDocument/2006/relationships/hyperlink" Target="http://paperpile.com/b/6XrWzO/ntsx" TargetMode="External"/><Relationship Id="rId343" Type="http://schemas.openxmlformats.org/officeDocument/2006/relationships/hyperlink" Target="http://paperpile.com/b/6XrWzO/WuAy" TargetMode="External"/><Relationship Id="rId100" Type="http://schemas.openxmlformats.org/officeDocument/2006/relationships/hyperlink" Target="https://paperpile.com/c/6XrWzO/5j9z" TargetMode="External"/><Relationship Id="rId221" Type="http://schemas.openxmlformats.org/officeDocument/2006/relationships/hyperlink" Target="http://paperpile.com/b/6XrWzO/620W" TargetMode="External"/><Relationship Id="rId342" Type="http://schemas.openxmlformats.org/officeDocument/2006/relationships/hyperlink" Target="http://dx.doi.org/10.1016/j.scitotenv.2020.141006" TargetMode="External"/><Relationship Id="rId217" Type="http://schemas.openxmlformats.org/officeDocument/2006/relationships/hyperlink" Target="http://paperpile.com/b/6XrWzO/620W" TargetMode="External"/><Relationship Id="rId338" Type="http://schemas.openxmlformats.org/officeDocument/2006/relationships/hyperlink" Target="http://paperpile.com/b/6XrWzO/zC5l" TargetMode="External"/><Relationship Id="rId216" Type="http://schemas.openxmlformats.org/officeDocument/2006/relationships/hyperlink" Target="http://paperpile.com/b/6XrWzO/620W" TargetMode="External"/><Relationship Id="rId337" Type="http://schemas.openxmlformats.org/officeDocument/2006/relationships/hyperlink" Target="http://paperpile.com/b/6XrWzO/zC5l" TargetMode="External"/><Relationship Id="rId215" Type="http://schemas.openxmlformats.org/officeDocument/2006/relationships/hyperlink" Target="http://paperpile.com/b/6XrWzO/620W" TargetMode="External"/><Relationship Id="rId336" Type="http://schemas.openxmlformats.org/officeDocument/2006/relationships/hyperlink" Target="http://paperpile.com/b/6XrWzO/zC5l" TargetMode="External"/><Relationship Id="rId214" Type="http://schemas.openxmlformats.org/officeDocument/2006/relationships/hyperlink" Target="http://paperpile.com/b/6XrWzO/hfie" TargetMode="External"/><Relationship Id="rId335" Type="http://schemas.openxmlformats.org/officeDocument/2006/relationships/hyperlink" Target="http://paperpile.com/b/6XrWzO/x6Ox" TargetMode="External"/><Relationship Id="rId219" Type="http://schemas.openxmlformats.org/officeDocument/2006/relationships/hyperlink" Target="http://paperpile.com/b/6XrWzO/620W" TargetMode="External"/><Relationship Id="rId218" Type="http://schemas.openxmlformats.org/officeDocument/2006/relationships/hyperlink" Target="http://paperpile.com/b/6XrWzO/620W" TargetMode="External"/><Relationship Id="rId339" Type="http://schemas.openxmlformats.org/officeDocument/2006/relationships/hyperlink" Target="http://dx.doi.org/10.1046/j.1365-2486.2003.00670.x" TargetMode="External"/><Relationship Id="rId330" Type="http://schemas.openxmlformats.org/officeDocument/2006/relationships/hyperlink" Target="http://paperpile.com/b/6XrWzO/69cf" TargetMode="External"/><Relationship Id="rId213" Type="http://schemas.openxmlformats.org/officeDocument/2006/relationships/hyperlink" Target="http://dx.doi.org/10.1002/ecs2.4209" TargetMode="External"/><Relationship Id="rId334" Type="http://schemas.openxmlformats.org/officeDocument/2006/relationships/hyperlink" Target="http://dx.doi.org/10.2134/agronmonogr47.c13" TargetMode="External"/><Relationship Id="rId212" Type="http://schemas.openxmlformats.org/officeDocument/2006/relationships/hyperlink" Target="http://paperpile.com/b/6XrWzO/hfie" TargetMode="External"/><Relationship Id="rId333" Type="http://schemas.openxmlformats.org/officeDocument/2006/relationships/hyperlink" Target="http://paperpile.com/b/6XrWzO/x6Ox" TargetMode="External"/><Relationship Id="rId211" Type="http://schemas.openxmlformats.org/officeDocument/2006/relationships/hyperlink" Target="http://paperpile.com/b/6XrWzO/mKFm" TargetMode="External"/><Relationship Id="rId332" Type="http://schemas.openxmlformats.org/officeDocument/2006/relationships/hyperlink" Target="http://paperpile.com/b/6XrWzO/69cf" TargetMode="External"/><Relationship Id="rId210" Type="http://schemas.openxmlformats.org/officeDocument/2006/relationships/hyperlink" Target="http://dx.doi.org/10.2307/2529310" TargetMode="External"/><Relationship Id="rId331" Type="http://schemas.openxmlformats.org/officeDocument/2006/relationships/hyperlink" Target="http://dx.doi.org/10.1038/s41597-024-04018-0" TargetMode="External"/><Relationship Id="rId129" Type="http://schemas.openxmlformats.org/officeDocument/2006/relationships/hyperlink" Target="https://paperpile.com/c/6XrWzO/5j9z+qrdb+4Uqx+st3V" TargetMode="External"/><Relationship Id="rId128" Type="http://schemas.openxmlformats.org/officeDocument/2006/relationships/hyperlink" Target="https://paperpile.com/c/6XrWzO/5j9z+ReuA" TargetMode="External"/><Relationship Id="rId249" Type="http://schemas.openxmlformats.org/officeDocument/2006/relationships/hyperlink" Target="http://dx.doi.org/10.1016/s0168-1923(00)00092-7" TargetMode="External"/><Relationship Id="rId127" Type="http://schemas.openxmlformats.org/officeDocument/2006/relationships/hyperlink" Target="https://paperpile.com/c/6XrWzO/5j9z+ReuA" TargetMode="External"/><Relationship Id="rId248" Type="http://schemas.openxmlformats.org/officeDocument/2006/relationships/hyperlink" Target="http://paperpile.com/b/6XrWzO/Ud5s" TargetMode="External"/><Relationship Id="rId126" Type="http://schemas.openxmlformats.org/officeDocument/2006/relationships/hyperlink" Target="https://paperpile.com/c/6XrWzO/0Jq3+5j9z" TargetMode="External"/><Relationship Id="rId247" Type="http://schemas.openxmlformats.org/officeDocument/2006/relationships/hyperlink" Target="http://paperpile.com/b/6XrWzO/uB5I" TargetMode="External"/><Relationship Id="rId121" Type="http://schemas.openxmlformats.org/officeDocument/2006/relationships/hyperlink" Target="https://paperpile.com/c/6XrWzO/4Uqx" TargetMode="External"/><Relationship Id="rId242" Type="http://schemas.openxmlformats.org/officeDocument/2006/relationships/hyperlink" Target="http://paperpile.com/b/6XrWzO/7U9f" TargetMode="External"/><Relationship Id="rId120" Type="http://schemas.openxmlformats.org/officeDocument/2006/relationships/hyperlink" Target="https://paperpile.com/c/6XrWzO/4Uqx+620W+0Jq3" TargetMode="External"/><Relationship Id="rId241" Type="http://schemas.openxmlformats.org/officeDocument/2006/relationships/hyperlink" Target="http://paperpile.com/b/6XrWzO/dgJr" TargetMode="External"/><Relationship Id="rId240" Type="http://schemas.openxmlformats.org/officeDocument/2006/relationships/hyperlink" Target="http://paperpile.com/b/6XrWzO/fPTt" TargetMode="External"/><Relationship Id="rId125" Type="http://schemas.openxmlformats.org/officeDocument/2006/relationships/hyperlink" Target="https://paperpile.com/c/6XrWzO/Ra99" TargetMode="External"/><Relationship Id="rId246" Type="http://schemas.openxmlformats.org/officeDocument/2006/relationships/hyperlink" Target="http://dx.doi.org/10.1016/1352-2310(96)00082-9" TargetMode="External"/><Relationship Id="rId124" Type="http://schemas.openxmlformats.org/officeDocument/2006/relationships/hyperlink" Target="https://paperpile.com/c/6XrWzO/kaW6" TargetMode="External"/><Relationship Id="rId245" Type="http://schemas.openxmlformats.org/officeDocument/2006/relationships/hyperlink" Target="http://paperpile.com/b/6XrWzO/uB5I" TargetMode="External"/><Relationship Id="rId123" Type="http://schemas.openxmlformats.org/officeDocument/2006/relationships/hyperlink" Target="https://paperpile.com/c/6XrWzO/mhfY" TargetMode="External"/><Relationship Id="rId244" Type="http://schemas.openxmlformats.org/officeDocument/2006/relationships/hyperlink" Target="http://paperpile.com/b/6XrWzO/7U9f" TargetMode="External"/><Relationship Id="rId122" Type="http://schemas.openxmlformats.org/officeDocument/2006/relationships/hyperlink" Target="https://paperpile.com/c/6XrWzO/VBIc" TargetMode="External"/><Relationship Id="rId243" Type="http://schemas.openxmlformats.org/officeDocument/2006/relationships/hyperlink" Target="http://dx.doi.org/10.2134/agronmonogr47.c16" TargetMode="External"/><Relationship Id="rId95" Type="http://schemas.openxmlformats.org/officeDocument/2006/relationships/hyperlink" Target="https://paperpile.com/c/6XrWzO/st3V+sVUG" TargetMode="External"/><Relationship Id="rId94" Type="http://schemas.openxmlformats.org/officeDocument/2006/relationships/hyperlink" Target="https://paperpile.com/c/6XrWzO/12pZ" TargetMode="External"/><Relationship Id="rId97" Type="http://schemas.openxmlformats.org/officeDocument/2006/relationships/hyperlink" Target="https://paperpile.com/c/6XrWzO/NpGz" TargetMode="External"/><Relationship Id="rId96" Type="http://schemas.openxmlformats.org/officeDocument/2006/relationships/hyperlink" Target="https://paperpile.com/c/6XrWzO/kcbJ+XQ0C+BN83+sVUG+cmMq" TargetMode="External"/><Relationship Id="rId99" Type="http://schemas.openxmlformats.org/officeDocument/2006/relationships/hyperlink" Target="https://paperpile.com/c/6XrWzO/5j9z+sVUG" TargetMode="External"/><Relationship Id="rId98" Type="http://schemas.openxmlformats.org/officeDocument/2006/relationships/hyperlink" Target="https://paperpile.com/c/6XrWzO/st3V" TargetMode="External"/><Relationship Id="rId91" Type="http://schemas.openxmlformats.org/officeDocument/2006/relationships/hyperlink" Target="https://paperpile.com/c/6XrWzO/5j9z+qrdb+4Uqx+st3V" TargetMode="External"/><Relationship Id="rId90" Type="http://schemas.openxmlformats.org/officeDocument/2006/relationships/image" Target="media/image14.png"/><Relationship Id="rId93" Type="http://schemas.openxmlformats.org/officeDocument/2006/relationships/hyperlink" Target="https://paperpile.com/c/6XrWzO/5j9z+qrdb+4Uqx+st3V" TargetMode="External"/><Relationship Id="rId92" Type="http://schemas.openxmlformats.org/officeDocument/2006/relationships/hyperlink" Target="https://paperpile.com/c/6XrWzO/5j9z" TargetMode="External"/><Relationship Id="rId118" Type="http://schemas.openxmlformats.org/officeDocument/2006/relationships/hyperlink" Target="https://paperpile.com/c/6XrWzO/5j9z" TargetMode="External"/><Relationship Id="rId239" Type="http://schemas.openxmlformats.org/officeDocument/2006/relationships/hyperlink" Target="http://dx.doi.org/10.5194/gmd-10-3189-2017" TargetMode="External"/><Relationship Id="rId117" Type="http://schemas.openxmlformats.org/officeDocument/2006/relationships/hyperlink" Target="https://paperpile.com/c/6XrWzO/5j9z" TargetMode="External"/><Relationship Id="rId238" Type="http://schemas.openxmlformats.org/officeDocument/2006/relationships/hyperlink" Target="http://paperpile.com/b/6XrWzO/fPTt" TargetMode="External"/><Relationship Id="rId359" Type="http://schemas.openxmlformats.org/officeDocument/2006/relationships/footer" Target="footer1.xml"/><Relationship Id="rId116" Type="http://schemas.openxmlformats.org/officeDocument/2006/relationships/hyperlink" Target="https://paperpile.com/c/6XrWzO/4Uqx" TargetMode="External"/><Relationship Id="rId237" Type="http://schemas.openxmlformats.org/officeDocument/2006/relationships/hyperlink" Target="http://paperpile.com/b/6XrWzO/CMUj" TargetMode="External"/><Relationship Id="rId358" Type="http://schemas.openxmlformats.org/officeDocument/2006/relationships/header" Target="header1.xml"/><Relationship Id="rId115" Type="http://schemas.openxmlformats.org/officeDocument/2006/relationships/hyperlink" Target="https://paperpile.com/c/6XrWzO/aQXz" TargetMode="External"/><Relationship Id="rId236" Type="http://schemas.openxmlformats.org/officeDocument/2006/relationships/hyperlink" Target="http://paperpile.com/b/6XrWzO/5j9z" TargetMode="External"/><Relationship Id="rId357" Type="http://schemas.openxmlformats.org/officeDocument/2006/relationships/hyperlink" Target="http://paperpile.com/b/6XrWzO/4Uqx" TargetMode="External"/><Relationship Id="rId119" Type="http://schemas.openxmlformats.org/officeDocument/2006/relationships/hyperlink" Target="https://paperpile.com/c/6XrWzO/IV8W" TargetMode="External"/><Relationship Id="rId110" Type="http://schemas.openxmlformats.org/officeDocument/2006/relationships/hyperlink" Target="https://paperpile.com/c/6XrWzO/4Uqx" TargetMode="External"/><Relationship Id="rId231" Type="http://schemas.openxmlformats.org/officeDocument/2006/relationships/hyperlink" Target="http://paperpile.com/b/6XrWzO/IV8W" TargetMode="External"/><Relationship Id="rId352" Type="http://schemas.openxmlformats.org/officeDocument/2006/relationships/hyperlink" Target="http://paperpile.com/b/6XrWzO/XD2Z" TargetMode="External"/><Relationship Id="rId230" Type="http://schemas.openxmlformats.org/officeDocument/2006/relationships/hyperlink" Target="http://dx.doi.org/10.1016/j.agrformet.2014.03.006" TargetMode="External"/><Relationship Id="rId351" Type="http://schemas.openxmlformats.org/officeDocument/2006/relationships/hyperlink" Target="http://paperpile.com/b/6XrWzO/0Jq3" TargetMode="External"/><Relationship Id="rId350" Type="http://schemas.openxmlformats.org/officeDocument/2006/relationships/hyperlink" Target="http://dx.doi.org/10.5194/acp-15-7487-2015" TargetMode="External"/><Relationship Id="rId114" Type="http://schemas.openxmlformats.org/officeDocument/2006/relationships/hyperlink" Target="https://paperpile.com/c/6XrWzO/4Uqx" TargetMode="External"/><Relationship Id="rId235" Type="http://schemas.openxmlformats.org/officeDocument/2006/relationships/hyperlink" Target="http://paperpile.com/b/6XrWzO/e7T7" TargetMode="External"/><Relationship Id="rId356" Type="http://schemas.openxmlformats.org/officeDocument/2006/relationships/hyperlink" Target="http://dx.doi.org/10.1016/j.agrformet.2019.05.032" TargetMode="External"/><Relationship Id="rId113" Type="http://schemas.openxmlformats.org/officeDocument/2006/relationships/hyperlink" Target="https://paperpile.com/c/6XrWzO/cmMq" TargetMode="External"/><Relationship Id="rId234" Type="http://schemas.openxmlformats.org/officeDocument/2006/relationships/hyperlink" Target="http://dx.doi.org/10.1016/j.agrformet.2010.10.001" TargetMode="External"/><Relationship Id="rId355" Type="http://schemas.openxmlformats.org/officeDocument/2006/relationships/hyperlink" Target="http://paperpile.com/b/6XrWzO/4Uqx" TargetMode="External"/><Relationship Id="rId112" Type="http://schemas.openxmlformats.org/officeDocument/2006/relationships/hyperlink" Target="https://paperpile.com/c/6XrWzO/cmMq" TargetMode="External"/><Relationship Id="rId233" Type="http://schemas.openxmlformats.org/officeDocument/2006/relationships/hyperlink" Target="http://paperpile.com/b/6XrWzO/e7T7" TargetMode="External"/><Relationship Id="rId354" Type="http://schemas.openxmlformats.org/officeDocument/2006/relationships/hyperlink" Target="http://paperpile.com/b/6XrWzO/XD2Z" TargetMode="External"/><Relationship Id="rId111" Type="http://schemas.openxmlformats.org/officeDocument/2006/relationships/hyperlink" Target="https://paperpile.com/c/6XrWzO/cmMq" TargetMode="External"/><Relationship Id="rId232" Type="http://schemas.openxmlformats.org/officeDocument/2006/relationships/hyperlink" Target="http://paperpile.com/b/6XrWzO/Wlpi" TargetMode="External"/><Relationship Id="rId353" Type="http://schemas.openxmlformats.org/officeDocument/2006/relationships/hyperlink" Target="http://dx.doi.org/10.1007/s00703-010-0113-9" TargetMode="External"/><Relationship Id="rId305" Type="http://schemas.openxmlformats.org/officeDocument/2006/relationships/hyperlink" Target="http://dx.doi.org/10.1023/A:1000809902980" TargetMode="External"/><Relationship Id="rId304" Type="http://schemas.openxmlformats.org/officeDocument/2006/relationships/hyperlink" Target="http://paperpile.com/b/6XrWzO/sVUG" TargetMode="External"/><Relationship Id="rId303" Type="http://schemas.openxmlformats.org/officeDocument/2006/relationships/hyperlink" Target="http://paperpile.com/b/6XrWzO/12pZ" TargetMode="External"/><Relationship Id="rId302" Type="http://schemas.openxmlformats.org/officeDocument/2006/relationships/hyperlink" Target="http://dx.doi.org/10.1029/97jd03181" TargetMode="External"/><Relationship Id="rId309" Type="http://schemas.openxmlformats.org/officeDocument/2006/relationships/hyperlink" Target="http://paperpile.com/b/6XrWzO/dcX9" TargetMode="External"/><Relationship Id="rId308" Type="http://schemas.openxmlformats.org/officeDocument/2006/relationships/hyperlink" Target="http://dx.doi.org/10.5194/acp-5-465-2005" TargetMode="External"/><Relationship Id="rId307" Type="http://schemas.openxmlformats.org/officeDocument/2006/relationships/hyperlink" Target="http://paperpile.com/b/6XrWzO/dcX9" TargetMode="External"/><Relationship Id="rId306" Type="http://schemas.openxmlformats.org/officeDocument/2006/relationships/hyperlink" Target="http://paperpile.com/b/6XrWzO/sVUG" TargetMode="External"/><Relationship Id="rId301" Type="http://schemas.openxmlformats.org/officeDocument/2006/relationships/hyperlink" Target="http://paperpile.com/b/6XrWzO/12pZ" TargetMode="External"/><Relationship Id="rId300" Type="http://schemas.openxmlformats.org/officeDocument/2006/relationships/hyperlink" Target="http://paperpile.com/b/6XrWzO/aQXz" TargetMode="External"/><Relationship Id="rId206" Type="http://schemas.openxmlformats.org/officeDocument/2006/relationships/hyperlink" Target="http://paperpile.com/b/6XrWzO/cmMq" TargetMode="External"/><Relationship Id="rId327" Type="http://schemas.openxmlformats.org/officeDocument/2006/relationships/hyperlink" Target="http://paperpile.com/b/6XrWzO/VBIc" TargetMode="External"/><Relationship Id="rId205" Type="http://schemas.openxmlformats.org/officeDocument/2006/relationships/hyperlink" Target="http://paperpile.com/b/6XrWzO/hHN4" TargetMode="External"/><Relationship Id="rId326" Type="http://schemas.openxmlformats.org/officeDocument/2006/relationships/hyperlink" Target="http://paperpile.com/b/6XrWzO/mhfY" TargetMode="External"/><Relationship Id="rId204" Type="http://schemas.openxmlformats.org/officeDocument/2006/relationships/hyperlink" Target="http://dx.doi.org/10.1029/2003gl018432" TargetMode="External"/><Relationship Id="rId325" Type="http://schemas.openxmlformats.org/officeDocument/2006/relationships/hyperlink" Target="http://dx.doi.org/10.2134/jeq1996.00472425002500040035x" TargetMode="External"/><Relationship Id="rId203" Type="http://schemas.openxmlformats.org/officeDocument/2006/relationships/hyperlink" Target="http://paperpile.com/b/6XrWzO/hHN4" TargetMode="External"/><Relationship Id="rId324" Type="http://schemas.openxmlformats.org/officeDocument/2006/relationships/hyperlink" Target="http://paperpile.com/b/6XrWzO/mhfY" TargetMode="External"/><Relationship Id="rId209" Type="http://schemas.openxmlformats.org/officeDocument/2006/relationships/hyperlink" Target="http://paperpile.com/b/6XrWzO/mKFm" TargetMode="External"/><Relationship Id="rId208" Type="http://schemas.openxmlformats.org/officeDocument/2006/relationships/hyperlink" Target="http://paperpile.com/b/6XrWzO/cmMq" TargetMode="External"/><Relationship Id="rId329" Type="http://schemas.openxmlformats.org/officeDocument/2006/relationships/hyperlink" Target="http://paperpile.com/b/6XrWzO/VBIc" TargetMode="External"/><Relationship Id="rId207" Type="http://schemas.openxmlformats.org/officeDocument/2006/relationships/hyperlink" Target="http://dx.doi.org/10.1175/jtech-d-23-0164.1" TargetMode="External"/><Relationship Id="rId328" Type="http://schemas.openxmlformats.org/officeDocument/2006/relationships/hyperlink" Target="http://dx.doi.org/10.2134/agronmonogr47.c14" TargetMode="External"/><Relationship Id="rId202" Type="http://schemas.openxmlformats.org/officeDocument/2006/relationships/hyperlink" Target="http://paperpile.com/b/6XrWzO/Mev0" TargetMode="External"/><Relationship Id="rId323" Type="http://schemas.openxmlformats.org/officeDocument/2006/relationships/hyperlink" Target="http://paperpile.com/b/6XrWzO/cC8x" TargetMode="External"/><Relationship Id="rId201" Type="http://schemas.openxmlformats.org/officeDocument/2006/relationships/hyperlink" Target="http://dx.doi.org/10.1890/es12-00196.1" TargetMode="External"/><Relationship Id="rId322" Type="http://schemas.openxmlformats.org/officeDocument/2006/relationships/hyperlink" Target="http://dx.doi.org/10.1021/es4032562" TargetMode="External"/><Relationship Id="rId200" Type="http://schemas.openxmlformats.org/officeDocument/2006/relationships/hyperlink" Target="http://paperpile.com/b/6XrWzO/Mev0" TargetMode="External"/><Relationship Id="rId321" Type="http://schemas.openxmlformats.org/officeDocument/2006/relationships/hyperlink" Target="http://paperpile.com/b/6XrWzO/cC8x" TargetMode="External"/><Relationship Id="rId320" Type="http://schemas.openxmlformats.org/officeDocument/2006/relationships/hyperlink" Target="http://paperpile.com/b/6XrWzO/mJgv" TargetMode="External"/><Relationship Id="rId316" Type="http://schemas.openxmlformats.org/officeDocument/2006/relationships/hyperlink" Target="http://paperpile.com/b/6XrWzO/eizJ" TargetMode="External"/><Relationship Id="rId315" Type="http://schemas.openxmlformats.org/officeDocument/2006/relationships/hyperlink" Target="http://paperpile.com/b/6XrWzO/CHQJ" TargetMode="External"/><Relationship Id="rId314" Type="http://schemas.openxmlformats.org/officeDocument/2006/relationships/hyperlink" Target="http://dx.doi.org/10.1002/qj.49709941913" TargetMode="External"/><Relationship Id="rId313" Type="http://schemas.openxmlformats.org/officeDocument/2006/relationships/hyperlink" Target="http://paperpile.com/b/6XrWzO/CHQJ" TargetMode="External"/><Relationship Id="rId319" Type="http://schemas.openxmlformats.org/officeDocument/2006/relationships/hyperlink" Target="http://dx.doi.org/10.1111/2041-210x.13943" TargetMode="External"/><Relationship Id="rId318" Type="http://schemas.openxmlformats.org/officeDocument/2006/relationships/hyperlink" Target="http://paperpile.com/b/6XrWzO/mJgv" TargetMode="External"/><Relationship Id="rId317" Type="http://schemas.openxmlformats.org/officeDocument/2006/relationships/hyperlink" Target="http://paperpile.com/b/6XrWzO/Ryxp" TargetMode="External"/><Relationship Id="rId312" Type="http://schemas.openxmlformats.org/officeDocument/2006/relationships/hyperlink" Target="http://paperpile.com/b/6XrWzO/w7Td" TargetMode="External"/><Relationship Id="rId311" Type="http://schemas.openxmlformats.org/officeDocument/2006/relationships/hyperlink" Target="http://dx.doi.org/10.1175/jtech-d-15-0154.1" TargetMode="External"/><Relationship Id="rId310" Type="http://schemas.openxmlformats.org/officeDocument/2006/relationships/hyperlink" Target="http://paperpile.com/b/6XrWzO/w7T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