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28"/>
          <w:szCs w:val="28"/>
        </w:rPr>
        <w:t xml:space="preserve">Methods</w:t>
      </w:r>
    </w:p>
    <w:p>
      <w:pPr>
        <w:pStyle w:val="Heading2"/>
        <w:spacing w:after="120" w:before="240"/>
      </w:pPr>
      <w:r>
        <w:rPr>
          <w:rFonts w:ascii="Arial" w:cs="Arial" w:eastAsia="Arial" w:hAnsi="Arial"/>
          <w:b/>
          <w:bCs/>
          <w:sz w:val="26"/>
          <w:szCs w:val="26"/>
        </w:rPr>
        <w:t xml:space="preserve">2.1  Site-level CH₄ flux measurements</w:t>
      </w:r>
    </w:p>
    <w:p>
      <w:pPr>
        <w:spacing w:after="160"/>
        <w:jc w:val="both"/>
      </w:pPr>
      <w:r>
        <w:rPr>
          <w:rFonts w:ascii="Arial" w:cs="Arial" w:eastAsia="Arial" w:hAnsi="Arial"/>
          <w:sz w:val="24"/>
          <w:szCs w:val="24"/>
        </w:rPr>
        <w:t xml:space="preserve">Half-hourly methane (CH₄) fluxes were measured using the flux-gradient (FG) technique at a network of upland terrestrial sites spanning major ecosystem types across North America. Vertical concentration gradients were resolved from co-located fast-response sensors, and eddy-diffusivity coefficients were estimated from concurrent turbulent energy budget measurements. Raw 30-minute FG fluxes were subject to quality screening for stationarity, fetch, and sensor reliability following standard micrometeorological criteria.</w:t>
      </w:r>
    </w:p>
    <w:p>
      <w:pPr>
        <w:spacing w:after="160"/>
        <w:jc w:val="both"/>
      </w:pPr>
      <w:r>
        <w:rPr>
          <w:rFonts w:ascii="Arial" w:cs="Arial" w:eastAsia="Arial" w:hAnsi="Arial"/>
          <w:sz w:val="24"/>
          <w:szCs w:val="24"/>
        </w:rPr>
        <w:t xml:space="preserve">Gap-filling of the 30-minute CH₄ record was performed using a random forest (RF) approach driven by ERA5-Land reanalysis covariates. Hourly ERA5 data — 2-metre air temperature, soil moisture (0–7 cm and 7–28 cm), soil temperature, precipitation, shortwave radiation, and vapour pressure deficit — were obtained from the Open-Meteo Archive API for each NEON tower location and interpolated to 30-minute timestamps. Two RF models were then trained on the subset of observed 30-minute fluxes paired with ERA5 covariates: a site-level RF that included SITE_ID as a predictor to capture site-specific offsets, and a population-level RF without SITE_ID used for sites with fewer than 50 observed paired records. Both models used 500 trees, minimum node size of 5, and a subsampling fraction of 0.70, implemented via the ranger package in R. Predictors included ERA5 climate variables, 7-day rolling means of temperature and precipitation, a temperature–soil moisture interaction term, site climatological CH₄ flux, harmonic hour-of-day terms (sin/cos), day of year, month, season, and EcoType. The site-level RF was applied to fill gaps at data-rich sites; the population-level RF was used elsewhere. Monthly mean CH₄ fluxes (g C m⁻² month⁻¹) were then aggregated from the ERA5-driven gap-filled half-hourly series.</w:t>
      </w:r>
    </w:p>
    <w:p>
      <w:pPr>
        <w:spacing w:after="160"/>
        <w:jc w:val="both"/>
      </w:pPr>
      <w:r>
        <w:rPr>
          <w:rFonts w:ascii="Arial" w:cs="Arial" w:eastAsia="Arial" w:hAnsi="Arial"/>
          <w:sz w:val="24"/>
          <w:szCs w:val="24"/>
        </w:rPr>
        <w:t xml:space="preserve">Each site was classified into one of four ecosystem types (EcoTypes) used throughout the analysis: Forest, Grassland, Shrubland, and Arid. Classification was based on MODIS MCD12C1 annual land-cover product cross-walked to Level-1 biomes from the Ecoregions2017 dataset. Forest biomes (biome codes 1–6) were assigned to Forest; tropical and temperate grasslands, savannas, and flooded grasslands (codes 7–11) to Grassland; Mediterranean and xeric shrublands (codes 12–13) to Shrubland; and cells with an aridity index (MAP / (MAT + 10) &lt; 15) to Arid. Arid cells were remapped to the Shrubland class for RF prediction but carried a binary ‘is_arid’ flag that forced their predicted P(source) to zero during spatial projection (see Section 2.3).</w:t>
      </w:r>
    </w:p>
    <w:p>
      <w:pPr>
        <w:spacing w:after="160"/>
        <w:jc w:val="both"/>
      </w:pPr>
      <w:r>
        <w:rPr>
          <w:rFonts w:ascii="Arial" w:cs="Arial" w:eastAsia="Arial" w:hAnsi="Arial"/>
          <w:sz w:val="24"/>
          <w:szCs w:val="24"/>
        </w:rPr>
        <w:t xml:space="preserve">To provide an independent assessment of site representativeness, monthly FG flux estimates were compared against co-located FLUXNET-CH₄ eddy-covariance observations where both records were available for the same site-month. Agreement statistics (Pearson r, root-mean-square error) were computed on the monthly timescale after standardising both series to g C m⁻² month⁻¹.</w:t>
      </w:r>
    </w:p>
    <w:p>
      <w:pPr>
        <w:pStyle w:val="Heading2"/>
        <w:spacing w:after="120" w:before="240"/>
      </w:pPr>
      <w:r>
        <w:rPr>
          <w:rFonts w:ascii="Arial" w:cs="Arial" w:eastAsia="Arial" w:hAnsi="Arial"/>
          <w:b/>
          <w:bCs/>
          <w:sz w:val="26"/>
          <w:szCs w:val="26"/>
        </w:rPr>
        <w:t xml:space="preserve">2.2  Spatial predictor variables</w:t>
      </w:r>
    </w:p>
    <w:p>
      <w:pPr>
        <w:spacing w:after="160"/>
        <w:jc w:val="both"/>
      </w:pPr>
      <w:r>
        <w:rPr>
          <w:rFonts w:ascii="Arial" w:cs="Arial" w:eastAsia="Arial" w:hAnsi="Arial"/>
          <w:sz w:val="24"/>
          <w:szCs w:val="24"/>
        </w:rPr>
        <w:t xml:space="preserve">Six predictor variables were assembled at 0.1° × 0.1° spatial resolution to support global spatial projection. Mean annual precipitation (MAP, mm yr⁻¹) and mean annual temperature (MAT, °C) were derived from ERA5-Land climatological averages (2000–2020). An aridity index was computed as MAP / (MAT + 10), consistent with the UNEP drylands classification scheme. Monthly ERA5-Land 2-metre air temperature (Tair, °C) and volumetric soil water content (VSWC, m³ m⁻³) provided interannually varying drivers for spatial projection and were standardised to z-scores using their respective training-set means and standard deviations. EcoType was assigned to each global land cell using the MODIS–Ecoregions2017 cross-walk described above. Inundation fraction for each cell was taken from the Water Bodies and Dynamic Wetlands (WAD2M) dataset, and the upland area fraction (1 − inundation fraction) was applied when computing cell-level CH₄ budgets, thereby excluding standing-water area from terrestrial flux integration.</w:t>
      </w:r>
    </w:p>
    <w:p>
      <w:pPr>
        <w:pStyle w:val="Heading2"/>
        <w:spacing w:after="120" w:before="240"/>
      </w:pPr>
      <w:r>
        <w:rPr>
          <w:rFonts w:ascii="Arial" w:cs="Arial" w:eastAsia="Arial" w:hAnsi="Arial"/>
          <w:b/>
          <w:bCs/>
          <w:sz w:val="26"/>
          <w:szCs w:val="26"/>
        </w:rPr>
        <w:t xml:space="preserve">2.3  Two-stage random forest spatial upscaling</w:t>
      </w:r>
    </w:p>
    <w:p>
      <w:pPr>
        <w:spacing w:after="160"/>
        <w:jc w:val="both"/>
      </w:pPr>
      <w:r>
        <w:rPr>
          <w:rFonts w:ascii="Arial" w:cs="Arial" w:eastAsia="Arial" w:hAnsi="Arial"/>
          <w:sz w:val="24"/>
          <w:szCs w:val="24"/>
        </w:rPr>
        <w:t xml:space="preserve">Spatial upscaling of site-level CH₄ exchange to the global terrestrial domain followed a two-stage random forest (RF) framework fitted and projected using monthly ERA5-Land climate data from 2000 to 2025.</w:t>
      </w:r>
    </w:p>
    <w:p>
      <w:pPr>
        <w:spacing w:after="160"/>
        <w:jc w:val="both"/>
      </w:pPr>
      <w:r>
        <w:rPr>
          <w:rFonts w:ascii="Arial" w:cs="Arial" w:eastAsia="Arial" w:hAnsi="Arial"/>
          <w:b/>
          <w:bCs/>
          <w:sz w:val="24"/>
          <w:szCs w:val="24"/>
        </w:rPr>
        <w:t xml:space="preserve">Stage 1 — P(source) classification. </w:t>
      </w:r>
      <w:r>
        <w:rPr>
          <w:rFonts w:ascii="Arial" w:cs="Arial" w:eastAsia="Arial" w:hAnsi="Arial"/>
          <w:i w:val="false"/>
          <w:iCs w:val="false"/>
          <w:sz w:val="24"/>
          <w:szCs w:val="24"/>
        </w:rPr>
        <w:t xml:space="preserve">A binary RF classifier was trained to distinguish net CH₄ source months from net sink months using the six predictors described above (MAP, MAT, aridity index, monthly Tair, monthly VSWC, EcoType). Because sources substantially outnumbered sinks in the training set (1,610 source months vs. 442 sink months; source fraction = 78%), training data were balanced by drawing a 1:1 subsample of 425 sink and 425 source site-months (850 total from 2,052 available). The RF was constructed with 500 trees, minimum node size of 20, maximum depth of 8, and a subsampling fraction of 0.70, implemented via the </w:t>
      </w:r>
      <w:r>
        <w:rPr>
          <w:rFonts w:ascii="Arial" w:cs="Arial" w:eastAsia="Arial" w:hAnsi="Arial"/>
          <w:i/>
          <w:iCs/>
          <w:sz w:val="24"/>
          <w:szCs w:val="24"/>
        </w:rPr>
        <w:t xml:space="preserve">ranger</w:t>
      </w:r>
      <w:r>
        <w:rPr>
          <w:rFonts w:ascii="Arial" w:cs="Arial" w:eastAsia="Arial" w:hAnsi="Arial"/>
          <w:i w:val="false"/>
          <w:iCs w:val="false"/>
          <w:sz w:val="24"/>
          <w:szCs w:val="24"/>
        </w:rPr>
        <w:t xml:space="preserve"> package in R. Out-of-bag (OOB) class probabilities were subsequently calibrated by fitting an isotonic regression of observed source/sink labels on OOB predicted probabilities, yielding calibrated P(source) estimates used in both Stage 2 and spatial projection. Model skill was evaluated against OOB predictions using the area under the receiver-operating-characteristic curve (AUC), Brier score and associated skill score, and Tjur R². Classification performance at a 0.5 probability threshold was summarised as accuracy, sensitivity (source recall), and specificity (sink recall). Predictor importance was ranked by the permutation-based variable importance metric returned by </w:t>
      </w:r>
      <w:r>
        <w:rPr>
          <w:rFonts w:ascii="Arial" w:cs="Arial" w:eastAsia="Arial" w:hAnsi="Arial"/>
          <w:i/>
          <w:iCs/>
          <w:sz w:val="24"/>
          <w:szCs w:val="24"/>
        </w:rPr>
        <w:t xml:space="preserve">ranger</w:t>
      </w:r>
      <w:r>
        <w:rPr>
          <w:rFonts w:ascii="Arial" w:cs="Arial" w:eastAsia="Arial" w:hAnsi="Arial"/>
          <w:i w:val="false"/>
          <w:iCs w:val="false"/>
          <w:sz w:val="24"/>
          <w:szCs w:val="24"/>
        </w:rPr>
        <w:t xml:space="preserve">.</w:t>
      </w:r>
    </w:p>
    <w:p>
      <w:pPr>
        <w:spacing w:after="160"/>
        <w:jc w:val="both"/>
      </w:pPr>
      <w:r>
        <w:rPr>
          <w:rFonts w:ascii="Arial" w:cs="Arial" w:eastAsia="Arial" w:hAnsi="Arial"/>
          <w:b/>
          <w:bCs/>
          <w:sz w:val="24"/>
          <w:szCs w:val="24"/>
        </w:rPr>
        <w:t xml:space="preserve">Stage 2 — flux magnitude. </w:t>
      </w:r>
      <w:r>
        <w:rPr>
          <w:rFonts w:ascii="Arial" w:cs="Arial" w:eastAsia="Arial" w:hAnsi="Arial"/>
          <w:i w:val="false"/>
          <w:iCs w:val="false"/>
          <w:sz w:val="24"/>
          <w:szCs w:val="24"/>
        </w:rPr>
        <w:t xml:space="preserve">Separate RF regression models were trained on log-transformed absolute flux magnitude for sink (n = 425) and source (n = 1,627) site-months, with the same predictor set supplemented by the calibrated P(source) score from Stage 1. Log transformation reduced right skew and improved predictive accuracy for low-magnitude fluxes. Back-transformed fitted values were evaluated against observed magnitudes using Pearson r and RMSE (g C m⁻² month⁻¹).</w:t>
      </w:r>
    </w:p>
    <w:p>
      <w:pPr>
        <w:pStyle w:val="Heading2"/>
        <w:spacing w:after="120" w:before="240"/>
      </w:pPr>
      <w:r>
        <w:rPr>
          <w:rFonts w:ascii="Arial" w:cs="Arial" w:eastAsia="Arial" w:hAnsi="Arial"/>
          <w:b/>
          <w:bCs/>
          <w:sz w:val="26"/>
          <w:szCs w:val="26"/>
        </w:rPr>
        <w:t xml:space="preserve">2.4  Flux expression approaches</w:t>
      </w:r>
    </w:p>
    <w:p>
      <w:pPr>
        <w:spacing w:after="160"/>
        <w:jc w:val="both"/>
      </w:pPr>
      <w:r>
        <w:rPr>
          <w:rFonts w:ascii="Arial" w:cs="Arial" w:eastAsia="Arial" w:hAnsi="Arial"/>
          <w:sz w:val="24"/>
          <w:szCs w:val="24"/>
        </w:rPr>
        <w:t xml:space="preserve">Three methods were used to translate the probabilistic Stage 1 output into cell-level monthly CH₄ exchange estimates, providing bounds on terrestrial upland flux:</w:t>
      </w:r>
    </w:p>
    <w:p>
      <w:pPr>
        <w:spacing w:after="160"/>
        <w:jc w:val="both"/>
      </w:pPr>
      <w:r>
        <w:rPr>
          <w:rFonts w:ascii="Arial" w:cs="Arial" w:eastAsia="Arial" w:hAnsi="Arial"/>
          <w:b/>
          <w:bCs/>
          <w:sz w:val="24"/>
          <w:szCs w:val="24"/>
        </w:rPr>
        <w:t xml:space="preserve">(1) Continuous. </w:t>
      </w:r>
      <w:r>
        <w:rPr>
          <w:rFonts w:ascii="Arial" w:cs="Arial" w:eastAsia="Arial" w:hAnsi="Arial"/>
          <w:i w:val="false"/>
          <w:iCs w:val="false"/>
          <w:sz w:val="24"/>
          <w:szCs w:val="24"/>
        </w:rPr>
        <w:t xml:space="preserve">Cell flux = P(source) × predicted source magnitude + (1 − P(source)) × predicted sink magnitude. This approach preserves the probabilistic gradient of the classifier and is the primary estimate.</w:t>
      </w:r>
    </w:p>
    <w:p>
      <w:pPr>
        <w:spacing w:after="160"/>
        <w:jc w:val="both"/>
      </w:pPr>
      <w:r>
        <w:rPr>
          <w:rFonts w:ascii="Arial" w:cs="Arial" w:eastAsia="Arial" w:hAnsi="Arial"/>
          <w:b/>
          <w:bCs/>
          <w:sz w:val="24"/>
          <w:szCs w:val="24"/>
        </w:rPr>
        <w:t xml:space="preserve">(2) Dichotomous. </w:t>
      </w:r>
      <w:r>
        <w:rPr>
          <w:rFonts w:ascii="Arial" w:cs="Arial" w:eastAsia="Arial" w:hAnsi="Arial"/>
          <w:i w:val="false"/>
          <w:iCs w:val="false"/>
          <w:sz w:val="24"/>
          <w:szCs w:val="24"/>
        </w:rPr>
        <w:t xml:space="preserve">Cells with P(source) ≥ 0.5 are treated as net sources and assigned the RF-predicted source magnitude; cells below threshold are treated as net sinks with the RF-predicted sink magnitude. This hard-threshold approach provides an upper bound on global net source flux.</w:t>
      </w:r>
    </w:p>
    <w:p>
      <w:pPr>
        <w:spacing w:after="160"/>
        <w:jc w:val="both"/>
      </w:pPr>
      <w:r>
        <w:rPr>
          <w:rFonts w:ascii="Arial" w:cs="Arial" w:eastAsia="Arial" w:hAnsi="Arial"/>
          <w:b/>
          <w:bCs/>
          <w:sz w:val="24"/>
          <w:szCs w:val="24"/>
        </w:rPr>
        <w:t xml:space="preserve">(3) All-Sink. </w:t>
      </w:r>
      <w:r>
        <w:rPr>
          <w:rFonts w:ascii="Arial" w:cs="Arial" w:eastAsia="Arial" w:hAnsi="Arial"/>
          <w:i w:val="false"/>
          <w:iCs w:val="false"/>
          <w:sz w:val="24"/>
          <w:szCs w:val="24"/>
        </w:rPr>
        <w:t xml:space="preserve">All cells are assigned the RF-predicted sink magnitude regardless of P(source). This theoretical scenario represents the maximum global CH₄ sink that upland terrestrial ecosystems could exert and provides a lower bound on net exchange.</w:t>
      </w:r>
    </w:p>
    <w:p>
      <w:pPr>
        <w:pStyle w:val="Heading2"/>
        <w:spacing w:after="120" w:before="240"/>
      </w:pPr>
      <w:r>
        <w:rPr>
          <w:rFonts w:ascii="Arial" w:cs="Arial" w:eastAsia="Arial" w:hAnsi="Arial"/>
          <w:b/>
          <w:bCs/>
          <w:sz w:val="26"/>
          <w:szCs w:val="26"/>
        </w:rPr>
        <w:t xml:space="preserve">2.5  Spatial projection and global budget</w:t>
      </w:r>
    </w:p>
    <w:p>
      <w:pPr>
        <w:spacing w:after="160"/>
        <w:jc w:val="both"/>
      </w:pPr>
      <w:r>
        <w:rPr>
          <w:rFonts w:ascii="Arial" w:cs="Arial" w:eastAsia="Arial" w:hAnsi="Arial"/>
          <w:sz w:val="24"/>
          <w:szCs w:val="24"/>
        </w:rPr>
        <w:t xml:space="preserve">Each Stage 1 and Stage 2 model was applied to a global 0.1° land-cell grid for each month from January 2000 through December 2025 (312 months), supplying ERA5-Land Tair and VSWC as interannually varying inputs while MAP, MAT, aridity index, and EcoType remained static. Arid cells (aridity index &lt; 15) had P(source) set to zero prior to flux calculation. Monthly cell fluxes (g C m⁻² month⁻¹) were multiplied by the upland area of each cell (total cell area × (1 − WAD2M inundation fraction), converted to Mha) and summed to annual totals. Unit conversion from g C to Tg CH₄ used the stoichiometric factor (16/12) × 10⁻² (g C m⁻² × Mha → Tg CH₄ yr⁻¹; multiplier = 0.01333). Annual global net exchange was computed for each of the three flux-expression approaches.</w:t>
      </w:r>
    </w:p>
    <w:p>
      <w:pPr>
        <w:spacing w:after="160"/>
        <w:jc w:val="both"/>
      </w:pPr>
      <w:r>
        <w:rPr>
          <w:rFonts w:ascii="Arial" w:cs="Arial" w:eastAsia="Arial" w:hAnsi="Arial"/>
          <w:sz w:val="24"/>
          <w:szCs w:val="24"/>
        </w:rPr>
        <w:t xml:space="preserve">To assess sensitivity of the global budget to the source-probability threshold, the dichotomous P* value was swept from 0.30 to 0.99 (step 0.01) and the resulting mean annual net CH₄ exchange was compared against the Global Methane Budget (GMB) target for upland terrestrial net exchange of −35 Tg CH₄ yr⁻¹.</w:t>
      </w:r>
    </w:p>
    <w:p>
      <w:pPr>
        <w:spacing w:after="80"/>
      </w:pPr>
      <w:r>
        <w:t xml:space="preserve"/>
      </w:r>
    </w:p>
    <w:p>
      <w:pPr>
        <w:pStyle w:val="Heading1"/>
        <w:spacing w:after="160" w:before="320"/>
      </w:pPr>
      <w:r>
        <w:rPr>
          <w:rFonts w:ascii="Arial" w:cs="Arial" w:eastAsia="Arial" w:hAnsi="Arial"/>
          <w:b/>
          <w:bCs/>
          <w:sz w:val="28"/>
          <w:szCs w:val="28"/>
        </w:rPr>
        <w:t xml:space="preserve">Results</w:t>
      </w:r>
    </w:p>
    <w:p>
      <w:pPr>
        <w:pStyle w:val="Heading2"/>
        <w:spacing w:after="120" w:before="240"/>
      </w:pPr>
      <w:r>
        <w:rPr>
          <w:rFonts w:ascii="Arial" w:cs="Arial" w:eastAsia="Arial" w:hAnsi="Arial"/>
          <w:b/>
          <w:bCs/>
          <w:sz w:val="26"/>
          <w:szCs w:val="26"/>
        </w:rPr>
        <w:t xml:space="preserve">3.1  Site classification and flux magnitudes</w:t>
      </w:r>
    </w:p>
    <w:p>
      <w:pPr>
        <w:spacing w:after="160"/>
        <w:jc w:val="both"/>
      </w:pPr>
      <w:r>
        <w:rPr>
          <w:rFonts w:ascii="Arial" w:cs="Arial" w:eastAsia="Arial" w:hAnsi="Arial"/>
          <w:sz w:val="24"/>
          <w:szCs w:val="24"/>
        </w:rPr>
        <w:t xml:space="preserve">Across 46 NEON flux-gradient sites, annual net CH₄ exchange was dominated by weak sources (38 sites; 83%), with a smaller number of consistent sinks (7 sites; 15%) and a single fluctuating site (Fig. 2a–b; NEON_all_site_category_flux_magnitudes.png). Ecosystem type did not strictly determine exchange state: both Forest and Grassland EcoTypes contained sites in each class, though the Fluctuating site was a Wetland (BARR). At the 30-minute timescale, fluxes ranged from approximately −0.008 to +0.016 μmol C m⁻² s⁻¹ across all sites, with Weak-sink sites reaching their most negative instantaneous rates during afternoon and evening hours. At the daily scale, sink fluxes ranged from approximately −0.9 to −4.5 mg C m⁻² d⁻¹ and source fluxes from +0.07 to +6.3 mg C m⁻² d⁻¹. At the annual scale — the timescale most relevant to global budget calculations — Weak-sink sites ranged from approximately −0.05 to −0.21 g C m⁻² yr⁻¹ (most negative at GUAN, a tropical forest in Puerto Rico) while Weak-source sites ranged from +0.005 (HEAL, an Alaskan shrubland) to +1.09 (LAJA, a Puerto Rican grassland) g C m⁻² yr⁻¹. When the ERA5-Land gap-fill was applied in place of concurrent observations, annual flux estimates remained consistent with those derived from the measured half-hourly record, confirming that ERA5-driven gap-filling does not systematically bias site-level annual exchange.</w:t>
      </w:r>
    </w:p>
    <w:p>
      <w:pPr>
        <w:pStyle w:val="Heading2"/>
        <w:spacing w:after="120" w:before="240"/>
      </w:pPr>
      <w:r>
        <w:rPr>
          <w:rFonts w:ascii="Arial" w:cs="Arial" w:eastAsia="Arial" w:hAnsi="Arial"/>
          <w:b/>
          <w:bCs/>
          <w:sz w:val="26"/>
          <w:szCs w:val="26"/>
        </w:rPr>
        <w:t xml:space="preserve">3.2  Diel and seasonal patterns of source probability</w:t>
      </w:r>
    </w:p>
    <w:p>
      <w:pPr>
        <w:spacing w:after="160"/>
        <w:jc w:val="both"/>
      </w:pPr>
      <w:r>
        <w:rPr>
          <w:rFonts w:ascii="Arial" w:cs="Arial" w:eastAsia="Arial" w:hAnsi="Arial"/>
          <w:sz w:val="24"/>
          <w:szCs w:val="24"/>
        </w:rPr>
        <w:t xml:space="preserve">Across state classes, 30-minute CH₄ fluxes showed a pronounced diel structure (Fig. 2c; NEON_ERA5_flux_pattern_diel_behavior_panel.png). Weak-source sites maintained positive fluxes throughout the day but exhibited slightly elevated emissions during nighttime and early morning hours. Weak-sink sites showed near-zero or weakly positive fluxes during the night and morning, transitioning to stronger net uptake during the afternoon and early evening, with peak sink rates of approximately −0.012 μmol C m⁻² s⁻¹ occurring around hours 19–21. This afternoon sink intensification is consistent with atmospheric CH₄ oxidation being modulated by soil temperature and diffusivity during the post-solar-maximum window. The Fluctuating site showed no coherent diel signal, oscillating between source and sink status across all hours.</w:t>
      </w:r>
    </w:p>
    <w:p>
      <w:pPr>
        <w:spacing w:after="160"/>
        <w:jc w:val="both"/>
      </w:pPr>
      <w:r>
        <w:rPr>
          <w:rFonts w:ascii="Arial" w:cs="Arial" w:eastAsia="Arial" w:hAnsi="Arial"/>
          <w:sz w:val="24"/>
          <w:szCs w:val="24"/>
        </w:rPr>
        <w:t xml:space="preserve">When expressed as the hourly probability of a positive (source) flux, the diel pattern further illustrated class-level differences (Fig. 2d). Weak-source sites maintained source probabilities of 65–80% across all hours, with the highest probabilities during nighttime. Weak-sink sites had source probabilities that declined through the day, falling below 50% during the afternoon in all months except winter. The Fluctuating site showed highly erratic hour-to-hour swings in source probability between 0% and 100%, consistent with near-zero mean flux with high variance.</w:t>
      </w:r>
    </w:p>
    <w:p>
      <w:pPr>
        <w:spacing w:after="160"/>
        <w:jc w:val="both"/>
      </w:pPr>
      <w:r>
        <w:rPr>
          <w:rFonts w:ascii="Arial" w:cs="Arial" w:eastAsia="Arial" w:hAnsi="Arial"/>
          <w:sz w:val="24"/>
          <w:szCs w:val="24"/>
        </w:rPr>
        <w:t xml:space="preserve">Seasonal variation in source probability was modest for Weak-source and Weak-sink sites relative to the between-class difference (Fig. 2e). Weak-source sites maintained a source probability of approximately 65–70% throughout the year with no strong seasonal signal. Weak-sink sites showed a slight summer reduction in source probability (dropping to ~50% in July), consistent with enhanced atmospheric CH₄ oxidation during warmer months. The Fluctuating site exhibited extreme seasonal swings — rising to ~93% source probability in May and dropping to ~20% in August — driven by the dominance of a single site with limited data and high seasonal variability in atmospheric conditions.</w:t>
      </w:r>
    </w:p>
    <w:p>
      <w:pPr>
        <w:pStyle w:val="Heading2"/>
        <w:spacing w:after="120" w:before="240"/>
      </w:pPr>
      <w:r>
        <w:rPr>
          <w:rFonts w:ascii="Arial" w:cs="Arial" w:eastAsia="Arial" w:hAnsi="Arial"/>
          <w:b/>
          <w:bCs/>
          <w:sz w:val="26"/>
          <w:szCs w:val="26"/>
        </w:rPr>
        <w:t xml:space="preserve">3.3  Comparison with published CH₄ flux benchmarks</w:t>
      </w:r>
    </w:p>
    <w:p>
      <w:pPr>
        <w:spacing w:after="160"/>
        <w:jc w:val="both"/>
      </w:pPr>
      <w:r>
        <w:rPr>
          <w:rFonts w:ascii="Arial" w:cs="Arial" w:eastAsia="Arial" w:hAnsi="Arial"/>
          <w:sz w:val="24"/>
          <w:szCs w:val="24"/>
        </w:rPr>
        <w:t xml:space="preserve">ERA5-gapfilled NEON flux-gradient daily fluxes fell within the range of published CH₄ exchange estimates for their respective ecosystem types (NEON_FLUXNET_CH4_flux_comparison.png). For forest sites, NEON ERA5-filled sink estimates (approximately −1 to −3 mg C m⁻² d⁻¹) were consistent with FLUXNET-CH₄ eddy-covariance observations and upland tower measurements for temperate and boreal forests, while NEON forest source values (approximately +0.5 to +2 mg C m⁻² d⁻¹) overlapped with published chamber measurements and validation tower estimates. For grassland and savanna sites, NEON source fluxes (+0.2 to +6 mg C m⁻² d⁻¹) were consistent with chamber measurements from comparable ecosystems, though the highest NEON values (LAJA, tropical humid grassland in Puerto Rico) approached the upper end of the reported range. Shrubland and wetland NEON sites also showed plausible magnitudes, with the wetland BARR site expressing near-zero fluxes consistent with upland-dominated tundra systems. Across all ecosystem types, NEON FG fluxes did not systematically exceed or fall below published benchmarks, supporting the validity of the flux-gradient methodology and ERA5 gap-filling for estimating daily-to-annual CH₄ exchange at upland terrestrial sites.</w:t>
      </w:r>
    </w:p>
    <w:p>
      <w:pPr>
        <w:pStyle w:val="Heading2"/>
        <w:spacing w:after="120" w:before="240"/>
      </w:pPr>
      <w:r>
        <w:rPr>
          <w:rFonts w:ascii="Arial" w:cs="Arial" w:eastAsia="Arial" w:hAnsi="Arial"/>
          <w:b/>
          <w:bCs/>
          <w:sz w:val="26"/>
          <w:szCs w:val="26"/>
        </w:rPr>
        <w:t xml:space="preserve">3.4  Stage 1: P(source) classification</w:t>
      </w:r>
    </w:p>
    <w:p>
      <w:pPr>
        <w:spacing w:after="160"/>
        <w:jc w:val="both"/>
      </w:pPr>
      <w:r>
        <w:rPr>
          <w:rFonts w:ascii="Arial" w:cs="Arial" w:eastAsia="Arial" w:hAnsi="Arial"/>
          <w:sz w:val="24"/>
          <w:szCs w:val="24"/>
        </w:rPr>
        <w:t xml:space="preserve">The Stage 1 RF classifier distinguished net CH₄ source months from sink months with high fidelity. Evaluated against OOB predictions, the calibrated model achieved an AUC of 0.961, a Brier skill score of 0.543 relative to the climatological base rate, and a Tjur R² of 0.657. At the 0.5 probability threshold, overall accuracy was 92.1%, sensitivity (source recall) was 98.4%, and specificity (sink recall) was 69.2%. The asymmetry between sensitivity and specificity is consistent with the imbalanced prior probability of source months in the training record (78% source), and reflects the conservative balanced-sampling strategy that deliberately traded sink-month recall for reduced overfitting. Isotonic calibration improved the reliability diagram for the raw OOB probabilities, reducing calibration error across all probability deciles.</w:t>
      </w:r>
    </w:p>
    <w:p>
      <w:pPr>
        <w:spacing w:after="160"/>
        <w:jc w:val="both"/>
      </w:pPr>
      <w:r>
        <w:rPr>
          <w:rFonts w:ascii="Arial" w:cs="Arial" w:eastAsia="Arial" w:hAnsi="Arial"/>
          <w:sz w:val="24"/>
          <w:szCs w:val="24"/>
        </w:rPr>
        <w:t xml:space="preserve">Permutation-based variable importance ranked MAP as the dominant predictor of source/sink state (importance = 38.0), followed by MAT (36.2), aridity index (32.2), monthly Tair (26.0), monthly VSWC (17.9), and EcoType (9.7). The primacy of long-term mean climate descriptors (MAP, MAT, aridity) over interannually varying drivers (Tair, VSWC) suggests that the global distribution of CH₄ source and sink months is largely controlled by background aridity and thermal regime rather than year-to-year climate variability.</w:t>
      </w:r>
    </w:p>
    <w:p>
      <w:pPr>
        <w:pStyle w:val="Heading2"/>
        <w:spacing w:after="120" w:before="240"/>
      </w:pPr>
      <w:r>
        <w:rPr>
          <w:rFonts w:ascii="Arial" w:cs="Arial" w:eastAsia="Arial" w:hAnsi="Arial"/>
          <w:b/>
          <w:bCs/>
          <w:sz w:val="26"/>
          <w:szCs w:val="26"/>
        </w:rPr>
        <w:t xml:space="preserve">3.5  Stage 2: flux magnitude models</w:t>
      </w:r>
    </w:p>
    <w:p>
      <w:pPr>
        <w:spacing w:after="160"/>
        <w:jc w:val="both"/>
      </w:pPr>
      <w:r>
        <w:rPr>
          <w:rFonts w:ascii="Arial" w:cs="Arial" w:eastAsia="Arial" w:hAnsi="Arial"/>
          <w:sz w:val="24"/>
          <w:szCs w:val="24"/>
        </w:rPr>
        <w:t xml:space="preserve">Both Stage 2 magnitude RF models explained a substantial fraction of variance in observed monthly CH₄ flux magnitudes. For sink months, the log-magnitude RF returned a Pearson correlation of r = 0.859 with an RMSE of 0.023 g C m⁻² month⁻¹ against observed values (mean observed = −0.032 g C m⁻² month⁻¹). For source months, r = 0.896 and RMSE = 0.030 g C m⁻² month⁻¹ (mean observed = +0.049 g C m⁻² month⁻¹). In both models, EcoType ranked as the strongest predictor of log-magnitude, substantially outweighing climate variables, indicating that ecosystem structural and biogeochemical differences among forest, grassland, and shrubland biomes explain more variance in flux magnitude than climate alone.</w:t>
      </w:r>
    </w:p>
    <w:p>
      <w:pPr>
        <w:pStyle w:val="Heading2"/>
        <w:spacing w:after="120" w:before="240"/>
      </w:pPr>
      <w:r>
        <w:rPr>
          <w:rFonts w:ascii="Arial" w:cs="Arial" w:eastAsia="Arial" w:hAnsi="Arial"/>
          <w:b/>
          <w:bCs/>
          <w:sz w:val="26"/>
          <w:szCs w:val="26"/>
        </w:rPr>
        <w:t xml:space="preserve">3.6  Spatial patterns of P(source) and flux area</w:t>
      </w:r>
    </w:p>
    <w:p>
      <w:pPr>
        <w:spacing w:after="160"/>
        <w:jc w:val="both"/>
      </w:pPr>
      <w:r>
        <w:rPr>
          <w:rFonts w:ascii="Arial" w:cs="Arial" w:eastAsia="Arial" w:hAnsi="Arial"/>
          <w:sz w:val="24"/>
          <w:szCs w:val="24"/>
        </w:rPr>
        <w:t xml:space="preserve">The spatial projection of calibrated P(source) for 2025 reveals a strong latitudinal gradient (Fig. 1B). Tropical forest and humid grassland cells carry the highest probability of net CH₄ source status, while boreal forests, temperate shrublands, and arid regions exhibit low P(source) values consistent with their role as atmospheric CH₄ sinks or near-neutral exchangers. The dichotomous classification (P* = 0.5) assigns approximately 7,600 Mha of global land area as net source and 3,500 Mha as net sink in 2025 (Fig. 1C–D). Both source and sink areas show minimal interannual variability from 2000 to 2025 (coefficient of variation &lt; 0.1%), indicating that the global pattern of CH₄ exchange state is robust to interannual ERA5-Land climate fluctuations and is instead governed primarily by the fixed spatial distribution of MAP, MAT, and EcoType.</w:t>
      </w:r>
    </w:p>
    <w:p>
      <w:pPr>
        <w:pStyle w:val="Heading2"/>
        <w:spacing w:after="120" w:before="240"/>
      </w:pPr>
      <w:r>
        <w:rPr>
          <w:rFonts w:ascii="Arial" w:cs="Arial" w:eastAsia="Arial" w:hAnsi="Arial"/>
          <w:b/>
          <w:bCs/>
          <w:sz w:val="26"/>
          <w:szCs w:val="26"/>
        </w:rPr>
        <w:t xml:space="preserve">3.7  Global terrestrial upland CH₄ budget</w:t>
      </w:r>
    </w:p>
    <w:p>
      <w:pPr>
        <w:spacing w:after="160"/>
        <w:jc w:val="both"/>
      </w:pPr>
      <w:r>
        <w:rPr>
          <w:rFonts w:ascii="Arial" w:cs="Arial" w:eastAsia="Arial" w:hAnsi="Arial"/>
          <w:sz w:val="24"/>
          <w:szCs w:val="24"/>
        </w:rPr>
        <w:t xml:space="preserve">Mean annual net terrestrial upland CH₄ exchange from 2000 to 2025 differed substantially across the three flux-expression approaches (Table 1). The All-Sink scenario, which represents the theoretical maximum sink capacity of upland terrestrial ecosystems, yielded a mean annual budget of −14.2 ± 0.3 Tg CH₄ yr⁻¹ (−40% of the GMB target). The Continuous approach, which weights source and sink magnitudes by the calibrated P(source) probability, estimated a mean net flux of +41.4 ± 0.3 Tg CH₄ yr⁻¹, indicating that probabilistic source-weighting results in a net global source when integrated over the full land area. The Dichotomous approach, applying a hard 0.5 threshold, produced the largest positive flux at +50.0 ± 0.5 Tg CH₄ yr⁻¹. The divergence between the Continuous and Dichotomous estimates highlights the sensitivity of terrestrial CH₄ budget calculations to the treatment of cells with intermediate source-probability values.</w:t>
      </w:r>
    </w:p>
    <w:p>
      <w:pPr>
        <w:spacing w:after="160"/>
        <w:jc w:val="both"/>
      </w:pPr>
      <w:r>
        <w:rPr>
          <w:rFonts w:ascii="Arial" w:cs="Arial" w:eastAsia="Arial" w:hAnsi="Arial"/>
          <w:sz w:val="24"/>
          <w:szCs w:val="24"/>
        </w:rPr>
        <w:t xml:space="preserve">All three approaches lie far from the GMB –cited upland terrestrial sink target of −35 Tg CH₄ yr⁻¹. A systematic threshold sensitivity analysis, sweeping P* from 0.30 to 0.99 in the dichotomous framework, showed that the global budget monotonically increases (becomes less negative) from +53.3 Tg at P* = 0.30 to a floor of −13.3 Tg at P* = 0.99 — the limiting case where only cells with near-certain source status are classified as sources. The GMB target of −35 Tg CH₄ yr⁻¹ was not achieved at any threshold value, indicating that the discrepancy between the model estimates and the GMB target cannot be resolved by adjusting the source-probability threshold alone. This gap may reflect the omission of additional atmospheric CH₄ sink mechanisms (e.g., methanotrophic soil oxidation in non-forest upland soils), limitations in the spatial coverage of training sites, or uncertainties in the GMB partitioning itself.</w:t>
      </w:r>
    </w:p>
    <w:p>
      <w:pPr>
        <w:pStyle w:val="Heading2"/>
        <w:spacing w:after="120" w:before="240"/>
      </w:pPr>
      <w:r>
        <w:rPr>
          <w:rFonts w:ascii="Arial" w:cs="Arial" w:eastAsia="Arial" w:hAnsi="Arial"/>
          <w:b/>
          <w:bCs/>
          <w:sz w:val="26"/>
          <w:szCs w:val="26"/>
        </w:rPr>
        <w:t xml:space="preserve">3.8  Gridded annual net CH₄ flux maps for 2025</w:t>
      </w:r>
    </w:p>
    <w:p>
      <w:pPr>
        <w:spacing w:after="160"/>
        <w:jc w:val="both"/>
      </w:pPr>
      <w:r>
        <w:rPr>
          <w:rFonts w:ascii="Arial" w:cs="Arial" w:eastAsia="Arial" w:hAnsi="Arial"/>
          <w:sz w:val="24"/>
          <w:szCs w:val="24"/>
        </w:rPr>
        <w:t xml:space="preserve">Global maps of annual net CH₄ flux for 2025 differed in spatial pattern and magnitude across the three flux-expression approaches (Fig. 4; Fig4_spatial_maps.png). Under the Continuous approach (Fig. 4A), the spatial pattern was a probabilistic blend of source and sink magnitudes, producing a globally coherent gradient in which tropical and subtropical regions expressed moderate-to-strong positive fluxes (up to &gt;+1 g C m⁻² yr⁻¹) while high-latitude boreal forests and temperate zones expressed weakly negative to near-zero fluxes. The strongest source cells were concentrated in the humid tropical belt — the Amazon basin, the Congo basin, and humid forest and grassland regions of South and Southeast Asia — consistent with the dominance of warm, wet climates in driving high P(source). Negative fluxes in the Continuous map were spatially restricted to cooler, drier boreal and temperate forests where P(source) was low and the RF sink magnitude dominated the probability-weighted blend.</w:t>
      </w:r>
    </w:p>
    <w:p>
      <w:pPr>
        <w:spacing w:after="160"/>
        <w:jc w:val="both"/>
      </w:pPr>
      <w:r>
        <w:rPr>
          <w:rFonts w:ascii="Arial" w:cs="Arial" w:eastAsia="Arial" w:hAnsi="Arial"/>
          <w:sz w:val="24"/>
          <w:szCs w:val="24"/>
        </w:rPr>
        <w:t xml:space="preserve">The Dichotomous approach (Fig. 4B; P(source) ≥ 0.5) produced a more spatially discrete pattern, with a hard boundary separating source-classified cells (red, positive fluxes) from sink-classified cells (blue, negative fluxes). Source cells dominated at tropical and mid-latitudes, while sinks were concentrated in boreal North America, northern Europe, and Siberia. Relative to the Continuous map, the Dichotomous approach expanded the spatial footprint of high-magnitude source values by eliminating the dampening effect of intermediate P(source) values on net flux. The 2025 Dichotomous annual budget (+45.9 Tg CH₄ yr⁻¹; 131% of the GMB soil-sink target magnitude) was slightly higher than the 2000–2025 mean (+50.0 Tg), reflecting modest year-to-year variability in ERA5-Land climate drivers.</w:t>
      </w:r>
    </w:p>
    <w:p>
      <w:pPr>
        <w:spacing w:after="160"/>
        <w:jc w:val="both"/>
      </w:pPr>
      <w:r>
        <w:rPr>
          <w:rFonts w:ascii="Arial" w:cs="Arial" w:eastAsia="Arial" w:hAnsi="Arial"/>
          <w:sz w:val="24"/>
          <w:szCs w:val="24"/>
        </w:rPr>
        <w:t xml:space="preserve">Under the All-Sink scenario (Fig. 4C), all upland land cells were assigned the RF-predicted sink magnitude regardless of P(source), producing a globally blue map in which every terrestrial cell expressed negative flux. Sink magnitudes were highest in the same tropical and subtropical regions that appeared as strong sources under the other approaches, reflecting the RF's prediction that if these high-productivity cells were to function as sinks, they would do so at relatively large magnitudes. This counter-intuitive result underscores that the spatial pattern of flux magnitude is dominated by climate and ecosystem productivity rather than the sign of exchange. Arid and desert regions (masked in tan) were excluded from all three approaches, consistent with the aridity-index threshold applied during spatial projection.</w:t>
      </w:r>
    </w:p>
    <w:p>
      <w:pPr>
        <w:spacing w:after="80"/>
      </w:pPr>
      <w:r>
        <w:t xml:space="preserve"/>
      </w:r>
    </w:p>
    <w:p>
      <w:pPr>
        <w:spacing w:after="120" w:before="200"/>
      </w:pPr>
      <w:r>
        <w:rPr>
          <w:rFonts w:ascii="Arial" w:cs="Arial" w:eastAsia="Arial" w:hAnsi="Arial"/>
          <w:b/>
          <w:bCs/>
          <w:sz w:val="24"/>
          <w:szCs w:val="24"/>
        </w:rPr>
        <w:t xml:space="preserve">Table 1.</w:t>
      </w:r>
      <w:r>
        <w:rPr>
          <w:rFonts w:ascii="Arial" w:cs="Arial" w:eastAsia="Arial" w:hAnsi="Arial"/>
          <w:sz w:val="22"/>
          <w:szCs w:val="22"/>
        </w:rPr>
        <w:t xml:space="preserve">  Mean annual global terrestrial upland CH₄ exchange (2000–2025) under the three flux-expression approaches. Values are mean ± 1 SD across years. Percentage of GMB is relative to the GMB upland sink target of −35 Tg CH₄ yr⁻¹.</w:t>
      </w:r>
    </w:p>
    <w:p>
      <w:pPr>
        <w:pBdr>
          <w:top w:val="single" w:color="888888" w:sz="6"/>
        </w:pBdr>
        <w:spacing w:after="0"/>
      </w:pPr>
      <w:r>
        <w:rPr>
          <w:rFonts w:ascii="Courier New" w:cs="Courier New" w:eastAsia="Courier New" w:hAnsi="Courier New"/>
          <w:sz w:val="20"/>
          <w:szCs w:val="20"/>
        </w:rPr>
        <w:t xml:space="preserve">Approach          Mean (Tg CH₄ yr⁻¹)   SD    % of GMB target</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All-Sink          −14.2              ±0.3   −40%</w:t>
      </w:r>
    </w:p>
    <w:p>
      <w:pPr>
        <w:spacing w:after="0"/>
      </w:pPr>
      <w:r>
        <w:rPr>
          <w:rFonts w:ascii="Courier New" w:cs="Courier New" w:eastAsia="Courier New" w:hAnsi="Courier New"/>
          <w:sz w:val="20"/>
          <w:szCs w:val="20"/>
        </w:rPr>
        <w:t xml:space="preserve">Continuous        +41.4              ±0.3   +118%</w:t>
      </w:r>
    </w:p>
    <w:p>
      <w:pPr>
        <w:pBdr>
          <w:bottom w:val="single" w:color="888888" w:sz="6"/>
        </w:pBdr>
        <w:spacing w:after="200"/>
      </w:pPr>
      <w:r>
        <w:rPr>
          <w:rFonts w:ascii="Courier New" w:cs="Courier New" w:eastAsia="Courier New" w:hAnsi="Courier New"/>
          <w:sz w:val="20"/>
          <w:szCs w:val="20"/>
        </w:rPr>
        <w:t xml:space="preserve">Dichotomous       +50.0              ±0.5   +143%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2026-06-30T13:58:33.733Z</dcterms:created>
  <dcterms:modified xsi:type="dcterms:W3CDTF">2026-06-30T13:58:33.733Z</dcterms:modified>
</cp:coreProperties>
</file>

<file path=docProps/custom.xml><?xml version="1.0" encoding="utf-8"?>
<Properties xmlns="http://schemas.openxmlformats.org/officeDocument/2006/custom-properties" xmlns:vt="http://schemas.openxmlformats.org/officeDocument/2006/docPropsVTypes"/>
</file>