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Supplementary Methods: Validation of Flux-Gradient CH₄ Estimates Against Eddy Covariance</w:t>
      </w:r>
    </w:p>
    <w:p>
      <w:pPr>
        <w:spacing w:after="160"/>
      </w:pPr>
      <w:r>
        <w:rPr>
          <w:rFonts w:ascii="Arial" w:cs="Arial" w:eastAsia="Arial" w:hAnsi="Arial"/>
          <w:sz w:val="22"/>
          <w:szCs w:val="22"/>
        </w:rPr>
        <w:t xml:space="preserve">This supplement describes the comparison of flux-gradient (FG) CH₄ estimates against eddy covariance (EC) measurements at three validation towers spanning a range of ecosystem types and canopy structures. The goal is to characterize the conditions under which FG estimates are reliable, to assess how performance relates to measurement configuration and canopy height, and to draw implications for the quality of FG estimates at NEON network sites.</w:t>
      </w:r>
    </w:p>
    <w:p>
      <w:r>
        <w:t xml:space="preserve"/>
      </w:r>
    </w:p>
    <w:p>
      <w:pPr>
        <w:pStyle w:val="Heading1"/>
        <w:spacing w:after="160" w:before="320"/>
      </w:pPr>
      <w:r>
        <w:rPr>
          <w:rFonts w:ascii="Arial" w:cs="Arial" w:eastAsia="Arial" w:hAnsi="Arial"/>
          <w:b/>
          <w:bCs/>
          <w:sz w:val="28"/>
          <w:szCs w:val="28"/>
        </w:rPr>
        <w:t xml:space="preserve">S1. Validation Tower Characteristics</w:t>
      </w:r>
    </w:p>
    <w:p>
      <w:pPr>
        <w:spacing w:after="160"/>
      </w:pPr>
      <w:r>
        <w:rPr>
          <w:rFonts w:ascii="Arial" w:cs="Arial" w:eastAsia="Arial" w:hAnsi="Arial"/>
          <w:sz w:val="22"/>
          <w:szCs w:val="22"/>
        </w:rPr>
        <w:t xml:space="preserve">Three flux towers with co-located EC and multi-level CH₄ concentration measurements were used for validation: SE-Sto, a subarctic peat mire in northern Sweden experiencing rapid permafrost degradation; SE-Svb, a boreal mixed coniferous forest in northern Sweden equipped with a 150-m tall tower capable of landscape-scale EC measurements; and US-Uaf, a boreal black spruce forest on discontinuous permafrost in interior Alaska. These sites span the canopy structures represented in the NEON CH₄ flux-gradient dataset, from open mires to tall closed-canopy forests (Table S1, Figure S1).</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900"/>
        <w:gridCol w:w="700"/>
        <w:gridCol w:w="1500"/>
        <w:gridCol w:w="1600"/>
        <w:gridCol w:w="900"/>
        <w:gridCol w:w="650"/>
      </w:tblGrid>
      <w:tr>
        <w:tc>
          <w:tcPr>
            <w:tcW w:type="dxa" w:w="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Site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Ecosystem</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Canopy hc (m)</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Tower (m)</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 atm. levels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CH₄ levels with data</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 height (m)</w:t>
            </w:r>
          </w:p>
        </w:tc>
        <w:tc>
          <w:tcPr>
            <w:tcW w:type="dxa" w:w="6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IGBP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Subarctic peat mire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(0.43–3.0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WET</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SE-Svb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Boreal mixed conifer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(1–150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(35, 85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Boreal black spruce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(1–8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(1, 4, 8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w:t>
            </w:r>
          </w:p>
        </w:tc>
      </w:tr>
    </w:tbl>
    <w:p>
      <w:pPr>
        <w:spacing w:after="240" w:before="80"/>
      </w:pPr>
      <w:r>
        <w:rPr>
          <w:rFonts w:ascii="Arial" w:cs="Arial" w:eastAsia="Arial" w:hAnsi="Arial"/>
          <w:i/>
          <w:iCs/>
          <w:color w:val="555555"/>
          <w:sz w:val="20"/>
          <w:szCs w:val="20"/>
        </w:rPr>
        <w:t xml:space="preserve">Table S1. Structural characteristics of validation towers. Canopy height (hc) from site attribute files (DistZaxsCnpy). 'CH₄ levels with data' = atmospheric levels with sufficient CH₄ concentration measurement coverage for flux-gradient analysis. IGBP: WET = wetland, ENF = evergreen needleleaf forest.</w:t>
      </w:r>
    </w:p>
    <w:p>
      <w:r>
        <w:t xml:space="preserve"/>
      </w:r>
    </w:p>
    <w:p>
      <w:pPr>
        <w:spacing w:after="160"/>
      </w:pPr>
      <w:r>
        <w:rPr>
          <w:rFonts w:ascii="Arial" w:cs="Arial" w:eastAsia="Arial" w:hAnsi="Arial"/>
          <w:sz w:val="22"/>
          <w:szCs w:val="22"/>
        </w:rPr>
        <w:t xml:space="preserve">The three sites differ substantially in both infrastructure and the number of CH₄ measurement levels available for flux-gradient analysis. SE-Sto has 5 sensor levels (0.43–3.0 m), all contributing usable CH₄ data, spanning from within to above the low peat vegetation. SE-Svb has 16 atmospheric sampling levels (1–150 m), but CH₄ concentration measurements with sufficient temporal coverage were only available at 2 heights—35 m and 85 m—both above the canopy (hc = 23.5 m). This is a critical distinction: the tall tower infrastructure at SE-Svb was designed primarily for CO₂ and energy flux measurements; CH₄ sensors were not deployed throughout the tower. As a result, the only available flux-gradient pair (13_8; 85/35 m) is in an above-above (AA) configuration, which is theoretically suboptimal for forests. US-Uaf has 4 sensor levels (1, 2, 4, 8 m), of which 3 contribute usable CH₄ flux-gradient pairs, spanning from within to above the black spruce canopy.</w:t>
      </w:r>
    </w:p>
    <w:p>
      <w:r>
        <w:t xml:space="preserve"/>
      </w:r>
    </w:p>
    <w:p>
      <w:pPr>
        <w:pStyle w:val="Heading1"/>
        <w:spacing w:after="160" w:before="320"/>
      </w:pPr>
      <w:r>
        <w:rPr>
          <w:rFonts w:ascii="Arial" w:cs="Arial" w:eastAsia="Arial" w:hAnsi="Arial"/>
          <w:b/>
          <w:bCs/>
          <w:sz w:val="28"/>
          <w:szCs w:val="28"/>
        </w:rPr>
        <w:t xml:space="preserve">S2. Reliable Sampling Height Pair Selection</w:t>
      </w:r>
    </w:p>
    <w:p>
      <w:pPr>
        <w:pStyle w:val="Heading2"/>
        <w:spacing w:after="120" w:before="240"/>
      </w:pPr>
      <w:r>
        <w:rPr>
          <w:rFonts w:ascii="Arial" w:cs="Arial" w:eastAsia="Arial" w:hAnsi="Arial"/>
          <w:b/>
          <w:bCs/>
          <w:sz w:val="24"/>
          <w:szCs w:val="24"/>
        </w:rPr>
        <w:t xml:space="preserve">S2.1 Canopy-structure criterion</w:t>
      </w:r>
    </w:p>
    <w:p>
      <w:pPr>
        <w:spacing w:after="160"/>
      </w:pPr>
      <w:r>
        <w:rPr>
          <w:rFonts w:ascii="Arial" w:cs="Arial" w:eastAsia="Arial" w:hAnsi="Arial"/>
          <w:sz w:val="22"/>
          <w:szCs w:val="22"/>
        </w:rPr>
        <w:t xml:space="preserve">Prior to the concordance-based reliable sampling height pair (RSHP) filter, candidate height pairs were restricted to those consistent with optimal configurations derived from network-wide empirical analysis (main text). For short canopies (hc ≤ 5 m), the lower sensor should be near the canopy top (±2 m) and the upper sensor 5–10 m higher, capturing the constant-flux layer gradient. For tall canopies (hc ≥ 15 m), an above-within (AW) configuration—lower sensor in the trunk space, upper sensor 10–15 m above the canopy—yields the strongest concordance.</w:t>
      </w:r>
    </w:p>
    <w:p>
      <w:pPr>
        <w:spacing w:after="160"/>
      </w:pPr>
      <w:r>
        <w:rPr>
          <w:rFonts w:ascii="Arial" w:cs="Arial" w:eastAsia="Arial" w:hAnsi="Arial"/>
          <w:sz w:val="22"/>
          <w:szCs w:val="22"/>
        </w:rPr>
        <w:t xml:space="preserve">At SE-Sto the canopy-structure criterion retains all AW and AA pairs, since tower height prevents meeting the 5–10 m separation rule. At SE-Svb the only pair with CH₄ data (13_8; 85/35 m; both above-canopy) was retained despite not meeting the ideal AW criterion—no within-canopy concentration measurements exist. At US-Uaf the filter restricted candidates to pairs using level 4 (8 m) as the upper sensor, giving separations of 4–7 m.</w:t>
      </w:r>
    </w:p>
    <w:p>
      <w:r>
        <w:t xml:space="preserve"/>
      </w:r>
    </w:p>
    <w:p>
      <w:pPr>
        <w:pStyle w:val="Heading2"/>
        <w:spacing w:after="120" w:before="240"/>
      </w:pPr>
      <w:r>
        <w:rPr>
          <w:rFonts w:ascii="Arial" w:cs="Arial" w:eastAsia="Arial" w:hAnsi="Arial"/>
          <w:b/>
          <w:bCs/>
          <w:sz w:val="24"/>
          <w:szCs w:val="24"/>
        </w:rPr>
        <w:t xml:space="preserve">S2.2 Tiered CCC filter</w:t>
      </w:r>
    </w:p>
    <w:p>
      <w:pPr>
        <w:spacing w:after="160"/>
      </w:pPr>
      <w:r>
        <w:rPr>
          <w:rFonts w:ascii="Arial" w:cs="Arial" w:eastAsia="Arial" w:hAnsi="Arial"/>
          <w:sz w:val="22"/>
          <w:szCs w:val="22"/>
        </w:rPr>
        <w:t xml:space="preserve">Within the canopy-structure-approved set, height pairs were selected by a three-tier concordance correlation coefficient (CCC) criterion applied per site × approach × season:</w:t>
      </w:r>
    </w:p>
    <w:p>
      <w:pPr>
        <w:spacing w:after="160"/>
      </w:pPr>
      <w:r>
        <w:rPr>
          <w:rFonts w:ascii="Arial" w:cs="Arial" w:eastAsia="Arial" w:hAnsi="Arial"/>
          <w:b/>
          <w:bCs/>
          <w:sz w:val="22"/>
          <w:szCs w:val="22"/>
        </w:rPr>
        <w:t xml:space="preserve">Tier 1 (standard): </w:t>
      </w:r>
      <w:r>
        <w:rPr>
          <w:rFonts w:ascii="Arial" w:cs="Arial" w:eastAsia="Arial" w:hAnsi="Arial"/>
          <w:sz w:val="22"/>
          <w:szCs w:val="22"/>
        </w:rPr>
        <w:t xml:space="preserve">CCC &gt; 0.1. Used when available.</w:t>
      </w:r>
    </w:p>
    <w:p>
      <w:pPr>
        <w:spacing w:after="160"/>
      </w:pPr>
      <w:r>
        <w:rPr>
          <w:rFonts w:ascii="Arial" w:cs="Arial" w:eastAsia="Arial" w:hAnsi="Arial"/>
          <w:b/>
          <w:bCs/>
          <w:sz w:val="22"/>
          <w:szCs w:val="22"/>
        </w:rPr>
        <w:t xml:space="preserve">Tier 2 (best_avail): </w:t>
      </w:r>
      <w:r>
        <w:rPr>
          <w:rFonts w:ascii="Arial" w:cs="Arial" w:eastAsia="Arial" w:hAnsi="Arial"/>
          <w:sz w:val="22"/>
          <w:szCs w:val="22"/>
        </w:rPr>
        <w:t xml:space="preserve">0 &lt; CCC ≤ 0.1. Used only when no Tier-1 pair exists in that season.</w:t>
      </w:r>
    </w:p>
    <w:p>
      <w:pPr>
        <w:spacing w:after="160"/>
      </w:pPr>
      <w:r>
        <w:rPr>
          <w:rFonts w:ascii="Arial" w:cs="Arial" w:eastAsia="Arial" w:hAnsi="Arial"/>
          <w:b/>
          <w:bCs/>
          <w:sz w:val="22"/>
          <w:szCs w:val="22"/>
        </w:rPr>
        <w:t xml:space="preserve">Tier 3 (unreliable): </w:t>
      </w:r>
      <w:r>
        <w:rPr>
          <w:rFonts w:ascii="Arial" w:cs="Arial" w:eastAsia="Arial" w:hAnsi="Arial"/>
          <w:sz w:val="22"/>
          <w:szCs w:val="22"/>
        </w:rPr>
        <w:t xml:space="preserve">highest CCC even if ≤ 0. Flagged; estimates should be interpreted with caution.</w:t>
      </w:r>
    </w:p>
    <w:p>
      <w:r>
        <w:t xml:space="preserve"/>
      </w:r>
    </w:p>
    <w:p>
      <w:pPr>
        <w:spacing w:after="160"/>
      </w:pPr>
      <w:r>
        <w:rPr>
          <w:rFonts w:ascii="Arial" w:cs="Arial" w:eastAsia="Arial" w:hAnsi="Arial"/>
          <w:sz w:val="22"/>
          <w:szCs w:val="22"/>
        </w:rPr>
        <w:t xml:space="preserve">SE-Sto achieves Tier-1 across all seasons for AE and WP approaches (CCC 0.11–0.33; Summer peak). SE-Svb reaches only Tier-3 in three seasons (CCC &lt; 0) and Tier-2 in Summer (CCC = 0.003). US-Uaf achieves Tier-1 in Summer (AE CCC = 0.22, WP CCC = 0.13) and Tier-2 in Spring and Autumn (Table S2).</w:t>
      </w:r>
    </w:p>
    <w:p>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1800"/>
        <w:gridCol w:w="700"/>
        <w:gridCol w:w="110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Season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Height pair</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CCC</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RSHP tier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5_1  (3.0–0.43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3_1  (1.63–0.43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5_1  (3.0–0.43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5_1  (3.0–0.43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Autumn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3_1  (1.63–0.43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SE-Svb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13_8  (85–35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best_avail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SE-Svb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13_8  (85–35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unreliable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4_1  (8–1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4_1  (8–1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4_3  (8–4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best_avail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Autumn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4_1  (8–1 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best_avail</w:t>
            </w:r>
          </w:p>
        </w:tc>
      </w:tr>
    </w:tbl>
    <w:p>
      <w:pPr>
        <w:spacing w:after="240" w:before="80"/>
      </w:pPr>
      <w:r>
        <w:rPr>
          <w:rFonts w:ascii="Arial" w:cs="Arial" w:eastAsia="Arial" w:hAnsi="Arial"/>
          <w:i/>
          <w:iCs/>
          <w:color w:val="555555"/>
          <w:sz w:val="20"/>
          <w:szCs w:val="20"/>
        </w:rPr>
        <w:t xml:space="preserve">Table S2. Representative RSHP-selected pairs per site–season–approach (highest CCC within tier shown). Full table: VAL_RSHP_pairs.Rdata.</w:t>
      </w:r>
    </w:p>
    <w:p>
      <w:r>
        <w:t xml:space="preserve"/>
      </w:r>
    </w:p>
    <w:p>
      <w:pPr>
        <w:pStyle w:val="Heading1"/>
        <w:spacing w:after="160" w:before="320"/>
      </w:pPr>
      <w:r>
        <w:rPr>
          <w:rFonts w:ascii="Arial" w:cs="Arial" w:eastAsia="Arial" w:hAnsi="Arial"/>
          <w:b/>
          <w:bCs/>
          <w:sz w:val="28"/>
          <w:szCs w:val="28"/>
        </w:rPr>
        <w:t xml:space="preserve">S3. Flux-Gradient vs Eddy Covariance Performance</w:t>
      </w:r>
    </w:p>
    <w:p>
      <w:pPr>
        <w:pStyle w:val="Heading2"/>
        <w:spacing w:after="120" w:before="240"/>
      </w:pPr>
      <w:r>
        <w:rPr>
          <w:rFonts w:ascii="Arial" w:cs="Arial" w:eastAsia="Arial" w:hAnsi="Arial"/>
          <w:b/>
          <w:bCs/>
          <w:sz w:val="24"/>
          <w:szCs w:val="24"/>
        </w:rPr>
        <w:t xml:space="preserve">S3.1 Half-hourly concordance</w:t>
      </w:r>
    </w:p>
    <w:p>
      <w:pPr>
        <w:spacing w:after="160"/>
      </w:pPr>
      <w:r>
        <w:rPr>
          <w:rFonts w:ascii="Arial" w:cs="Arial" w:eastAsia="Arial" w:hAnsi="Arial"/>
          <w:sz w:val="22"/>
          <w:szCs w:val="22"/>
        </w:rPr>
        <w:t xml:space="preserve">FG and EC fluxes were paired at each 30-min timestamp where both were available. SE-Sto had 38,874 matched pairs (r = 0.385, r² = 0.148, slope = 1.28). SE-Svb had only 2,742 pairs with near-zero correlation (r = −0.005, slope = −0.025), confirming that the above-canopy pair does not capture the landscape CH₄ gradient measured by the 85-m EC system. US-Uaf had 6,521 pairs (r = 0.228, r² = 0.052, slope = 0.52).</w:t>
      </w:r>
    </w:p>
    <w:p>
      <w:r>
        <w:t xml:space="preserve"/>
      </w:r>
    </w:p>
    <w:p>
      <w:pPr>
        <w:pStyle w:val="Heading2"/>
        <w:spacing w:after="120" w:before="240"/>
      </w:pPr>
      <w:r>
        <w:rPr>
          <w:rFonts w:ascii="Arial" w:cs="Arial" w:eastAsia="Arial" w:hAnsi="Arial"/>
          <w:b/>
          <w:bCs/>
          <w:sz w:val="24"/>
          <w:szCs w:val="24"/>
        </w:rPr>
        <w:t xml:space="preserve">S3.2 Seasonal patterns</w:t>
      </w:r>
    </w:p>
    <w:p>
      <w:pPr>
        <w:spacing w:after="160"/>
      </w:pPr>
      <w:r>
        <w:rPr>
          <w:rFonts w:ascii="Arial" w:cs="Arial" w:eastAsia="Arial" w:hAnsi="Arial"/>
          <w:sz w:val="22"/>
          <w:szCs w:val="22"/>
        </w:rPr>
        <w:t xml:space="preserve">Concordance was strongly seasonal at all sites. At SE-Sto, Summer showed the best agreement (r = 0.490, FG/EC = 1.25); Winter and Spring showed the largest overestimates (FG/EC = 2.23 and 2.43). These high cold-season ratios likely reflect weak gradients during low-emission periods amplified by limited sensor separation. At SE-Svb, no season showed meaningful positive correlation. At US-Uaf, Summer was best (r = 0.288, FG/EC = 2.83); Autumn showed near-unity mean ratio (FG/EC = 0.99); Spring was slightly below unity (FG/EC = 0.45). No Winter data were available at US-Uaf.</w:t>
      </w:r>
    </w:p>
    <w:p>
      <w:r>
        <w:t xml:space="preserve"/>
      </w:r>
    </w:p>
    <w:p>
      <w:pPr>
        <w:pStyle w:val="Heading2"/>
        <w:spacing w:after="120" w:before="240"/>
      </w:pPr>
      <w:r>
        <w:rPr>
          <w:rFonts w:ascii="Arial" w:cs="Arial" w:eastAsia="Arial" w:hAnsi="Arial"/>
          <w:b/>
          <w:bCs/>
          <w:sz w:val="24"/>
          <w:szCs w:val="24"/>
        </w:rPr>
        <w:t xml:space="preserve">S3.3 Annual budgets</w:t>
      </w:r>
    </w:p>
    <w:p>
      <w:pPr>
        <w:spacing w:after="160"/>
      </w:pPr>
      <w:r>
        <w:rPr>
          <w:rFonts w:ascii="Arial" w:cs="Arial" w:eastAsia="Arial" w:hAnsi="Arial"/>
          <w:sz w:val="22"/>
          <w:szCs w:val="22"/>
        </w:rPr>
        <w:t xml:space="preserve">Pseudo-annual CH₄ budgets (mean 30-min flux × 48 × 365; sampled periods only, not gap-filled) were: SE-Sto FG = 16.0, EC = 10.4 mgC m⁻² yr⁻¹ (ratio 1.54); SE-Svb FG = 4,929, EC = 850 mgC m⁻² yr⁻¹ (ratio 5.80); US-Uaf FG = 4,810, EC = 2,748 mgC m⁻² yr⁻¹ (ratio 1.75).</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700"/>
        <w:gridCol w:w="700"/>
        <w:gridCol w:w="1600"/>
        <w:gridCol w:w="1600"/>
        <w:gridCol w:w="7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Site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 (30-min)</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Slope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FG annual
(mgC m⁻² yr⁻¹)</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 annual
(mgC m⁻² yr⁻¹)</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FG/EC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38,874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0.385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SE-Svb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6,521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w:t>
            </w:r>
          </w:p>
        </w:tc>
      </w:tr>
    </w:tbl>
    <w:p>
      <w:pPr>
        <w:spacing w:after="240" w:before="80"/>
      </w:pPr>
      <w:r>
        <w:rPr>
          <w:rFonts w:ascii="Arial" w:cs="Arial" w:eastAsia="Arial" w:hAnsi="Arial"/>
          <w:i/>
          <w:iCs/>
          <w:color w:val="555555"/>
          <w:sz w:val="20"/>
          <w:szCs w:val="20"/>
        </w:rPr>
        <w:t xml:space="preserve">Table S3. 30-minute FG vs EC performance and pseudo-annual CH₄ budget comparison. Annual values are not gap-filled (sampled periods only).</w:t>
      </w:r>
    </w:p>
    <w:p>
      <w:r>
        <w:t xml:space="preserve"/>
      </w:r>
    </w:p>
    <w:p>
      <w:pPr>
        <w:pStyle w:val="Heading1"/>
        <w:spacing w:after="160" w:before="320"/>
      </w:pPr>
      <w:r>
        <w:rPr>
          <w:rFonts w:ascii="Arial" w:cs="Arial" w:eastAsia="Arial" w:hAnsi="Arial"/>
          <w:b/>
          <w:bCs/>
          <w:sz w:val="28"/>
          <w:szCs w:val="28"/>
        </w:rPr>
        <w:t xml:space="preserve">S4. Site-Specific Interpretation</w:t>
      </w:r>
    </w:p>
    <w:p>
      <w:pPr>
        <w:pStyle w:val="Heading2"/>
        <w:spacing w:after="120" w:before="240"/>
      </w:pPr>
      <w:r>
        <w:rPr>
          <w:rFonts w:ascii="Arial" w:cs="Arial" w:eastAsia="Arial" w:hAnsi="Arial"/>
          <w:b/>
          <w:bCs/>
          <w:sz w:val="24"/>
          <w:szCs w:val="24"/>
        </w:rPr>
        <w:t xml:space="preserve">S4.1 SE-Sto — Subarctic peat mire</w:t>
      </w:r>
    </w:p>
    <w:p>
      <w:pPr>
        <w:spacing w:after="160"/>
      </w:pPr>
      <w:r>
        <w:rPr>
          <w:rFonts w:ascii="Arial" w:cs="Arial" w:eastAsia="Arial" w:hAnsi="Arial"/>
          <w:sz w:val="22"/>
          <w:szCs w:val="22"/>
        </w:rPr>
        <w:t xml:space="preserve">SE-Sto showed the strongest and most consistent concordance. The AW configuration—sensors spanning the peat surface and overlying boundary layer—effectively captures the CH₄ source gradient. The systematic ~1.5× FG overestimate is consistent with diffusivity parameterisation errors common under the stable stratification prevalent at subarctic mires. Performance was weakest in Winter and Spring when emission-driven concentration gradients are weak relative to instrument noise. The 3-m tower height remains the primary hardware constraint: all available pairs are within 2.6 m of each other, and a taller tower would substantially improve Winter and Spring performance. Despite this, SE-Sto provides the strongest evidence that FG can track temporal CH₄ dynamics at wetland sites.</w:t>
      </w:r>
    </w:p>
    <w:p>
      <w:r>
        <w:t xml:space="preserve"/>
      </w:r>
    </w:p>
    <w:p>
      <w:pPr>
        <w:pStyle w:val="Heading2"/>
        <w:spacing w:after="120" w:before="240"/>
      </w:pPr>
      <w:r>
        <w:rPr>
          <w:rFonts w:ascii="Arial" w:cs="Arial" w:eastAsia="Arial" w:hAnsi="Arial"/>
          <w:b/>
          <w:bCs/>
          <w:sz w:val="24"/>
          <w:szCs w:val="24"/>
        </w:rPr>
        <w:t xml:space="preserve">S4.2 SE-Svb — Boreal tall-tower forest</w:t>
      </w:r>
    </w:p>
    <w:p>
      <w:pPr>
        <w:spacing w:after="160"/>
      </w:pPr>
      <w:r>
        <w:rPr>
          <w:rFonts w:ascii="Arial" w:cs="Arial" w:eastAsia="Arial" w:hAnsi="Arial"/>
          <w:sz w:val="22"/>
          <w:szCs w:val="22"/>
        </w:rPr>
        <w:t xml:space="preserve">SE-Svb illustrates the consequence of inadequate measurement coverage rather than a fundamental limitation of the flux-gradient method in forests. With only 2 of its 16 atmospheric levels having CH₄ concentration data—and both of those above the 23.5-m canopy—the only available pair (13_8; 85/35 m) is in an above-above (AA) configuration. Both sensors sample the well-mixed column above the canopy, where the CH₄ gradient driven by surface sources has been dissipated, rather than the steeper gradient within and just above the canopy. Consequently CCC was near zero or negative in all seasons, and FG overestimated the landscape EC flux by 5.8× overall (19× in Winter).</w:t>
      </w:r>
    </w:p>
    <w:p>
      <w:pPr>
        <w:spacing w:after="160"/>
      </w:pPr>
      <w:r>
        <w:rPr>
          <w:rFonts w:ascii="Arial" w:cs="Arial" w:eastAsia="Arial" w:hAnsi="Arial"/>
          <w:sz w:val="22"/>
          <w:szCs w:val="22"/>
        </w:rPr>
        <w:t xml:space="preserve">Critically, this failure is a consequence of data availability—the absence of within-canopy CH₄ concentration measurements—not an inherent limitation of the flux-gradient method in forests. Had CH₄ sensors been deployed at levels 2–3 (4–10 m; within the trunk space) alongside the existing 35-m level, an AW pair would have been available, and the method would be expected to perform substantially better. SE-Svb is retained in the validation dataset as a demonstration of what happens when measurement height placement does not match the method's requirements, not as evidence that FG fails in forested ecosystems generally.</w:t>
      </w:r>
    </w:p>
    <w:p>
      <w:r>
        <w:t xml:space="preserve"/>
      </w:r>
    </w:p>
    <w:p>
      <w:pPr>
        <w:pStyle w:val="Heading2"/>
        <w:spacing w:after="120" w:before="240"/>
      </w:pPr>
      <w:r>
        <w:rPr>
          <w:rFonts w:ascii="Arial" w:cs="Arial" w:eastAsia="Arial" w:hAnsi="Arial"/>
          <w:b/>
          <w:bCs/>
          <w:sz w:val="24"/>
          <w:szCs w:val="24"/>
        </w:rPr>
        <w:t xml:space="preserve">S4.3 US-Uaf — Boreal black spruce forest</w:t>
      </w:r>
    </w:p>
    <w:p>
      <w:pPr>
        <w:spacing w:after="160"/>
      </w:pPr>
      <w:r>
        <w:rPr>
          <w:rFonts w:ascii="Arial" w:cs="Arial" w:eastAsia="Arial" w:hAnsi="Arial"/>
          <w:sz w:val="22"/>
          <w:szCs w:val="22"/>
        </w:rPr>
        <w:t xml:space="preserve">US-Uaf showed intermediate, strongly seasonal performance. After the canopy-structure filter, pairs using level 4 (8 m) as the upper sensor were retained, providing 4–7 m separations across the 5-m canopy. Summer performance was best (r = 0.288, Tier-1 CCC up to 0.22), corresponding to peak permafrost CH₄ emissions and the strongest gradients. Spring and Autumn fell to Tier-2 (CCC &lt; 0.1). The 1.75× annual overestimate and low 30-min slope (0.52) suggest that while FG captures temporal variability, it overestimates absolute flux magnitude, possibly due to small sensor separation relative to the mixed source footprint of upland spruce and peatland hollows. The absence of Winter data reflects a logistical gap common to sites with frozen instrumentation periods; gap-filling via RF-ERA5 addresses this.</w:t>
      </w:r>
    </w:p>
    <w:p>
      <w:r>
        <w:t xml:space="preserve"/>
      </w:r>
    </w:p>
    <w:p>
      <w:pPr>
        <w:pStyle w:val="Heading1"/>
        <w:spacing w:after="160" w:before="320"/>
      </w:pPr>
      <w:r>
        <w:rPr>
          <w:rFonts w:ascii="Arial" w:cs="Arial" w:eastAsia="Arial" w:hAnsi="Arial"/>
          <w:b/>
          <w:bCs/>
          <w:sz w:val="28"/>
          <w:szCs w:val="28"/>
        </w:rPr>
        <w:t xml:space="preserve">S5. Implications for NEON Network Flux-Gradient Estimates</w:t>
      </w:r>
    </w:p>
    <w:p>
      <w:pPr>
        <w:spacing w:after="160"/>
      </w:pPr>
      <w:r>
        <w:rPr>
          <w:rFonts w:ascii="Arial" w:cs="Arial" w:eastAsia="Arial" w:hAnsi="Arial"/>
          <w:sz w:val="22"/>
          <w:szCs w:val="22"/>
        </w:rPr>
        <w:t xml:space="preserve">The validation results indicate that FG reliability is controlled by three factors: (1) appropriate measurement configuration (AW pairs, or well-separated AA pairs); (2) adequate signal-to-noise in the CH₄ concentration gradient; and (3) seasonal emission dynamics. A key distinction between the validation towers and the NEON network is measurement density: all NEON sites are equipped with CH₄ concentration sensors at multiple heights including within-canopy levels, ensuring that AW pairs are available at every site regardless of canopy height. This places NEON in a fundamentally more favorable position than SE-Svb, and makes the tiered RSHP filter the primary quality-control mechanism rather than data availability.</w:t>
      </w:r>
    </w:p>
    <w:p>
      <w:r>
        <w:t xml:space="preserve"/>
      </w:r>
    </w:p>
    <w:p>
      <w:pPr>
        <w:pStyle w:val="Heading2"/>
        <w:spacing w:after="120" w:before="240"/>
      </w:pPr>
      <w:r>
        <w:rPr>
          <w:rFonts w:ascii="Arial" w:cs="Arial" w:eastAsia="Arial" w:hAnsi="Arial"/>
          <w:b/>
          <w:bCs/>
          <w:sz w:val="24"/>
          <w:szCs w:val="24"/>
        </w:rPr>
        <w:t xml:space="preserve">S5.1 Wetland and short-canopy sites</w:t>
      </w:r>
    </w:p>
    <w:p>
      <w:pPr>
        <w:spacing w:after="160"/>
      </w:pPr>
      <w:r>
        <w:rPr>
          <w:rFonts w:ascii="Arial" w:cs="Arial" w:eastAsia="Arial" w:hAnsi="Arial"/>
          <w:sz w:val="22"/>
          <w:szCs w:val="22"/>
        </w:rPr>
        <w:t xml:space="preserve">NEON WET sites and sites with canopy heights below ~5 m are most analogous to SE-Sto. These sites are expected to show moderate-to-good FG performance (r &gt; 0.35) when sensor separations span from within to above the canopy. Growing-season estimates should be considered reliable for tracking temporal patterns and relative variability, with an absolute uncertainty of approximately ±50% on annual budgets. Wetland sites are the primary focus of this study, and the SE-Sto validation provides direct ecosystem-type support for the flux-gradient approach.</w:t>
      </w:r>
    </w:p>
    <w:p>
      <w:r>
        <w:t xml:space="preserve"/>
      </w:r>
    </w:p>
    <w:p>
      <w:pPr>
        <w:pStyle w:val="Heading2"/>
        <w:spacing w:after="120" w:before="240"/>
      </w:pPr>
      <w:r>
        <w:rPr>
          <w:rFonts w:ascii="Arial" w:cs="Arial" w:eastAsia="Arial" w:hAnsi="Arial"/>
          <w:b/>
          <w:bCs/>
          <w:sz w:val="24"/>
          <w:szCs w:val="24"/>
        </w:rPr>
        <w:t xml:space="preserve">S5.2 Forested sites</w:t>
      </w:r>
    </w:p>
    <w:p>
      <w:pPr>
        <w:spacing w:after="160"/>
      </w:pPr>
      <w:r>
        <w:rPr>
          <w:rFonts w:ascii="Arial" w:cs="Arial" w:eastAsia="Arial" w:hAnsi="Arial"/>
          <w:sz w:val="22"/>
          <w:szCs w:val="22"/>
        </w:rPr>
        <w:t xml:space="preserve">Unlike SE-Svb, NEON forested sites are equipped with CH₄ concentration sensors at multiple heights including levels within the canopy, so AW pairs are available at all forested NEON sites. The SE-Svb failure should therefore not be interpreted as evidence that FG is unreliable in forests in general; it reflects what happens when only above-canopy measurements are available—a situation that does not apply to NEON. With AW pairs available and the RSHP filter selecting height pairs based on measured concordance, NEON forested sites are expected to perform comparably to the short-canopy case. The CCC-based RSHP tier will naturally be lower at sites where canopy structure or emission dynamics reduce gradient strength, and those estimates will be flagged accordingly. The primary residual uncertainty at NEON forested sites is the seasonal dependence of concordance observed at US-Uaf: Summer estimates are most reliable, and growing-season budgets should be used as the basis for annual extrapolation.</w:t>
      </w:r>
    </w:p>
    <w:p>
      <w:r>
        <w:t xml:space="preserve"/>
      </w:r>
    </w:p>
    <w:p>
      <w:pPr>
        <w:pStyle w:val="Heading2"/>
        <w:spacing w:after="120" w:before="240"/>
      </w:pPr>
      <w:r>
        <w:rPr>
          <w:rFonts w:ascii="Arial" w:cs="Arial" w:eastAsia="Arial" w:hAnsi="Arial"/>
          <w:b/>
          <w:bCs/>
          <w:sz w:val="24"/>
          <w:szCs w:val="24"/>
        </w:rPr>
        <w:t xml:space="preserve">S5.3 Short boreal and shrub-tundra sites</w:t>
      </w:r>
    </w:p>
    <w:p>
      <w:pPr>
        <w:spacing w:after="160"/>
      </w:pPr>
      <w:r>
        <w:rPr>
          <w:rFonts w:ascii="Arial" w:cs="Arial" w:eastAsia="Arial" w:hAnsi="Arial"/>
          <w:sz w:val="22"/>
          <w:szCs w:val="22"/>
        </w:rPr>
        <w:t xml:space="preserve">Sites analogous to US-Uaf—short boreal or tundra vegetation with multi-level towers—are expected to show intermediate, seasonally variable performance. Summer FG estimates with RSHP Tier-1 or Tier-2 status should be considered moderately reliable. Annual budgets should be reported with the observed ~1.75× bias range, or corrected using the EC-derived scaling factor where a co-located EC record is available.</w:t>
      </w:r>
    </w:p>
    <w:p>
      <w:r>
        <w:t xml:space="preserve"/>
      </w:r>
    </w:p>
    <w:p>
      <w:pPr>
        <w:pStyle w:val="Heading2"/>
        <w:spacing w:after="120" w:before="240"/>
      </w:pPr>
      <w:r>
        <w:rPr>
          <w:rFonts w:ascii="Arial" w:cs="Arial" w:eastAsia="Arial" w:hAnsi="Arial"/>
          <w:b/>
          <w:bCs/>
          <w:sz w:val="24"/>
          <w:szCs w:val="24"/>
        </w:rPr>
        <w:t xml:space="preserve">S5.4 Summary</w:t>
      </w:r>
    </w:p>
    <w:p>
      <w:pPr>
        <w:spacing w:after="160"/>
      </w:pPr>
      <w:r>
        <w:rPr>
          <w:rFonts w:ascii="Arial" w:cs="Arial" w:eastAsia="Arial" w:hAnsi="Arial"/>
          <w:sz w:val="22"/>
          <w:szCs w:val="22"/>
        </w:rPr>
        <w:t xml:space="preserve">The validation supports the use of RSHP-filtered FG estimates as proxies for ecosystem CH₄ exchange across the full range of NEON site types. The critical determinant of reliability is whether RSHP-selected pairs achieve Tier-1 or Tier-2 CCC status, not canopy height per se—because all NEON sites have within-canopy CH₄ measurements enabling AW pairs. SE-Svb demonstrates the worst-case outcome when AW pairs are unavailable; it sets a ceiling on potential error rather than a typical expectation for forested sites. The RSHP tier classification provides a transparent, site- and season-specific quality flag that downstream users can apply to select estimates appropriate for their analysis objectives.</w:t>
      </w:r>
    </w:p>
    <w:p>
      <w:r>
        <w:t xml:space="preserve"/>
      </w:r>
    </w:p>
    <w:p>
      <w:pPr>
        <w:pStyle w:val="Heading1"/>
        <w:spacing w:after="160" w:before="320"/>
      </w:pPr>
      <w:r>
        <w:rPr>
          <w:rFonts w:ascii="Arial" w:cs="Arial" w:eastAsia="Arial" w:hAnsi="Arial"/>
          <w:b/>
          <w:bCs/>
          <w:sz w:val="28"/>
          <w:szCs w:val="28"/>
        </w:rPr>
        <w:t xml:space="preserve">Figures</w:t>
      </w:r>
    </w:p>
    <w:p>
      <w:pPr>
        <w:spacing w:after="160"/>
      </w:pPr>
      <w:r>
        <w:rPr>
          <w:rFonts w:ascii="Arial" w:cs="Arial" w:eastAsia="Arial" w:hAnsi="Arial"/>
          <w:sz w:val="22"/>
          <w:szCs w:val="22"/>
        </w:rPr>
        <w:t xml:space="preserve">Figure S1. Measurement height configurations at validation towers. [See ValSupp_Fig1_TowerProfiles.png]</w:t>
      </w:r>
    </w:p>
    <w:p>
      <w:r>
        <w:t xml:space="preserve"/>
      </w:r>
    </w:p>
    <w:p>
      <w:pPr>
        <w:spacing w:after="160"/>
      </w:pPr>
      <w:r>
        <w:rPr>
          <w:rFonts w:ascii="Arial" w:cs="Arial" w:eastAsia="Arial" w:hAnsi="Arial"/>
          <w:sz w:val="22"/>
          <w:szCs w:val="22"/>
        </w:rPr>
        <w:t xml:space="preserve">Figure S2. Concordance correlation coefficients (CCC) for candidate RSHP height pairs by season and approach. [See ValSupp_Fig2_CCC.png]</w:t>
      </w:r>
    </w:p>
    <w:p>
      <w:r>
        <w:t xml:space="preserve"/>
      </w:r>
    </w:p>
    <w:p>
      <w:pPr>
        <w:spacing w:after="160"/>
      </w:pPr>
      <w:r>
        <w:rPr>
          <w:rFonts w:ascii="Arial" w:cs="Arial" w:eastAsia="Arial" w:hAnsi="Arial"/>
          <w:sz w:val="22"/>
          <w:szCs w:val="22"/>
        </w:rPr>
        <w:t xml:space="preserve">Figure S3. Half-hourly FG vs EC CH₄ fluxes at each validation site. [See ValSupp_Fig3_FGvsEC.png]</w:t>
      </w:r>
    </w:p>
    <w:p>
      <w:r>
        <w:t xml:space="preserve"/>
      </w:r>
    </w:p>
    <w:p>
      <w:pPr>
        <w:spacing w:after="160"/>
      </w:pPr>
      <w:r>
        <w:rPr>
          <w:rFonts w:ascii="Arial" w:cs="Arial" w:eastAsia="Arial" w:hAnsi="Arial"/>
          <w:sz w:val="22"/>
          <w:szCs w:val="22"/>
        </w:rPr>
        <w:t xml:space="preserve">Figure S4. Seasonal FG/EC ratio and pseudo-annual budget comparison. [See ValSupp_Fig4_Annual.png]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Supplement: Validation of Flux-Gradient CH₄ Estimates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4E79"/>
      <w:sz w:val="28"/>
      <w:szCs w:val="28"/>
    </w:rPr>
  </w:style>
  <w:style w:type="paragraph" w:styleId="Heading2">
    <w:name w:val="Heading 2"/>
    <w:basedOn w:val="Normal"/>
    <w:next w:val="Normal"/>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2026-06-30T21:23:10.654Z</dcterms:created>
  <dcterms:modified xsi:type="dcterms:W3CDTF">2026-06-30T21:23:10.654Z</dcterms:modified>
</cp:coreProperties>
</file>

<file path=docProps/custom.xml><?xml version="1.0" encoding="utf-8"?>
<Properties xmlns="http://schemas.openxmlformats.org/officeDocument/2006/custom-properties" xmlns:vt="http://schemas.openxmlformats.org/officeDocument/2006/docPropsVTypes"/>
</file>