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Supplementary Methods, Figure S1 and Tables S1–S3. The tables are provided in the accompanying workbook (Supplementary_Tables_S1-S3.xlsx), one sheet per table; their captions are given below.</w:t>
      </w:r>
    </w:p>
    <w:p>
      <w:pPr>
        <w:pStyle w:val="Heading2"/>
      </w:pPr>
      <w:r>
        <w:t>Supplementary Methods: dataset-specific processing</w:t>
      </w:r>
    </w:p>
    <w:p>
      <w:r>
        <w:t>All datasets were downloaded from the Environmental Data Initiative and processed with the scripts in R/preprocess/ of the project repository. The same rules were applied throughout (see Methods); the site-specific application of those rules, checked against each package's metadata, is given below.</w:t>
      </w:r>
    </w:p>
    <w:p>
      <w:r>
        <w:rPr>
          <w:b/>
        </w:rPr>
        <w:t xml:space="preserve">AND (TV010 experimental watersheds (WS06 clearcut, WS07 shelterwood, WS08 control); knb-lter-and.2742.28). </w:t>
      </w:r>
      <w:r>
        <w:t>Tree remeasurement table (TV010 entity 2). Watersheds WS06 (clearcut) and WS07 (shelterwood) vs. control WS08; all live stems (status 1-3) with a measured DBH; mean DBH per plot and census. The control was censused one year after the treatments (2003/2009/2015 vs. 2002/2008/2014); control census years were aligned to the treatment census periods.</w:t>
      </w:r>
    </w:p>
    <w:p>
      <w:r>
        <w:rPr>
          <w:b/>
        </w:rPr>
        <w:t xml:space="preserve">ARC (Toolik Lake moist acidic tussock tundra experiment; knb-lter-arc.10004.8). </w:t>
      </w:r>
      <w:r>
        <w:t>Late-July (peak-season) harvest of each year; aboveground vascular tissues only ('new above' and 'old above'; mosses and lichens were sorted only from 1989, and belowground tissues and litter are excluded); per-quadrat masses of every harvested quadrat scaled to g m-2 (x25) and averaged per block. The 2015 harvest was recovered from the raw quadrat masses. Greenhouse and shade treatments have only two harvests and were not classified.</w:t>
      </w:r>
    </w:p>
    <w:p>
      <w:r>
        <w:rPr>
          <w:b/>
        </w:rPr>
        <w:t xml:space="preserve">BNZ (CiPEHR (Carbon in Permafrost Experimental Heating Research); knb-lter-bnz.481.23). </w:t>
      </w:r>
      <w:r>
        <w:t>Half-hourly growing-season NEE from five period files (2009-2021). The 2012 treatment codes (WW/SW) were recoded to those used in other years (W/S). NEE was summed over the season per plot and averaged across the plots of each fence x treatment. Control = ambient winter and summer (C C).</w:t>
      </w:r>
    </w:p>
    <w:p>
      <w:r>
        <w:rPr>
          <w:b/>
        </w:rPr>
        <w:t xml:space="preserve">CAP (Desert Fertilization Experiment (CNdep); knb-lter-cap.632.17). </w:t>
      </w:r>
      <w:r>
        <w:t>Spring annual-plant biomass per 0.25 m2 quadrat, averaged from sub-plot to plot within site; control plot C1 vs. N, P and N+P. 2018 was excluded because 141 of 144 quadrats contained no annual plants.</w:t>
      </w:r>
    </w:p>
    <w:p>
      <w:r>
        <w:rPr>
          <w:b/>
        </w:rPr>
        <w:t xml:space="preserve">CDR (BioCON; knb-lter-cdr.302.13). </w:t>
      </w:r>
      <w:r>
        <w:t>BioCON aboveground biomass, August (peak) harvest only (a June harvest exists only for 1998-2011). The missing-value code 9999 was set to missing; litter and bare-ground records were excluded; plot totals were averaged per ring x treatment. BioCON contains nested designs on different plot sets (main CO2 x N experiment, 4-species 'S' plots, water manipulation from 2007, water x warming from 2012 in the 9-species plots); each treatment was compared with the ambient control of its own design, and those ambient controls were not counted as treatments. Four plots that lost one factor label from 2013 were restored (2) or dropped (2).</w:t>
      </w:r>
    </w:p>
    <w:p>
      <w:r>
        <w:rPr>
          <w:b/>
        </w:rPr>
        <w:t xml:space="preserve">GCE (Tidal marsh disturbance experiment (PLT-GCED-2207); knb-lter-gce.786.13). </w:t>
      </w:r>
      <w:r>
        <w:t>Vegetation cover (carbon proxy) in disturbed vs. control plots. Monitoring of a marsh stopped once its disturbed plots had recovered, so after 2014 only the slowest sites remain; the balanced panel of all 12 sites (2010-2014) was analyzed.</w:t>
      </w:r>
    </w:p>
    <w:p>
      <w:r>
        <w:rPr>
          <w:b/>
        </w:rPr>
        <w:t xml:space="preserve">HBR (MELNHE (Multiple Element Limitation in Northern Hardwood Ecosystems); knb-lter-hbr.404.1). </w:t>
      </w:r>
      <w:r>
        <w:t>MELNHE fall litterfall mass per stand; control vs. N, P, NP and Ca. Fertilization began in spring 2011, so 2009-2010 (pre-treatment) were excluded. Treatments were compared with the control plot of the same stand.</w:t>
      </w:r>
    </w:p>
    <w:p>
      <w:r>
        <w:rPr>
          <w:b/>
        </w:rPr>
        <w:t xml:space="preserve">HFR (Prospect Hill soil warming experiment; knb-lter-hfr.5.37). </w:t>
      </w:r>
      <w:r>
        <w:t>Prospect Hill soil respiration (hf005-05). The heated treatment was compared with the disturbance control (cables installed but not heated), which spans the full record; the undisturbed control (1991-2002) was not used. The two June 1991 dates preceding the start of heating were excluded; fluxes were averaged per plot and year.</w:t>
      </w:r>
    </w:p>
    <w:p>
      <w:r>
        <w:rPr>
          <w:b/>
        </w:rPr>
        <w:t xml:space="preserve">KBS (Main Cropping System Experiment (MCSE); knb-lter-kbs.19.85). </w:t>
      </w:r>
      <w:r>
        <w:t>Compiled herbaceous-biomass table (crop, weeds and cover crops) for the annual cropping systems T1, T2, T3 and T21, with T4 (biologically based, no chemical inputs) as the reference; whole-plant (WHOLE) records were used where reported, so that fractions were not double-counted; litter excluded; stations averaged within replicate and campaigns summed within year. The record begins in 1993, when all systems began to follow one crop sequence; the perennial alfalfa system (T6) was not analyzed.</w:t>
      </w:r>
    </w:p>
    <w:p>
      <w:r>
        <w:rPr>
          <w:b/>
        </w:rPr>
        <w:t xml:space="preserve">KNZ (Belowground Plot Experiment (PBB01); knb-lter-knz.57.15). </w:t>
      </w:r>
      <w:r>
        <w:t>Belowground Plot Experiment (burn x mow x nutrient) vs. the unburned, unmowed, unfertilized plots. Response = herbaceous production per 0.1 m2 quadrat (live grass + forbs + current-year dead, which was sorted separately until 2002; woody stems excluded). Quadrats were averaged per plot and date; the two within-year clips of mowed plots were summed, and the last (peak) clip was used for unmowed plots. Treatments were analyzed only while applied: mowing through 2003 and fertilization through 2016.</w:t>
      </w:r>
    </w:p>
    <w:p>
      <w:r>
        <w:rPr>
          <w:b/>
        </w:rPr>
        <w:t xml:space="preserve">LUQ (Canopy Trimming Experiment (CTE); knb-lter-luq.164.678951). </w:t>
      </w:r>
      <w:r>
        <w:t>Canopy Trimming Experiment soil CO2 flux; block x plot treatment map from the package metadata. The canopy was trimmed between October 2004 and April 2005, so 2003-2004 and the 2005 dates preceding each block's trimming were excluded; chambers were averaged per plot and date.</w:t>
      </w:r>
    </w:p>
    <w:p>
      <w:r>
        <w:rPr>
          <w:b/>
        </w:rPr>
        <w:t xml:space="preserve">MCM (Stoichiometry experiment (Bonney and Fryxell basins); knb-lter-mcm.4014.5). </w:t>
      </w:r>
      <w:r>
        <w:t>Soil CO2 flux after amendment (POST_CO2); water-only (W) plots are the control and C, N, P, CN and CP the treatments (unamended plots were not used). Block numbers are reused in the two lake basins, so a replicate is a basin x block, and treatments were compared with the control of the same basin.</w:t>
      </w:r>
    </w:p>
    <w:p>
      <w:r>
        <w:rPr>
          <w:b/>
        </w:rPr>
        <w:t xml:space="preserve">NTL (Cascade Project whole-lake nutrient addition; knb-lter-ntl.413.2). </w:t>
      </w:r>
      <w:r>
        <w:t>Cascade whole-lake N + P additions: Peter Lake (2013-2015, 2019) and Tuesday Lake (2013-2015) vs. the unmanipulated reference, Paul Lake, in the same years; response = mean manual chlorophyll (carbon proxy) over the sampling season. Lake-years without additions were not paired.</w:t>
      </w:r>
    </w:p>
    <w:p>
      <w:r>
        <w:rPr>
          <w:b/>
        </w:rPr>
        <w:t xml:space="preserve">NWT (Snow x N x temperature experiment (Niwot Saddle); knb-lter-nwt.13.7). </w:t>
      </w:r>
      <w:r>
        <w:t>Snow x N x temperature factorial; only ambient-snow, ambient-temperature plots were retained so that the N contrast has an uncontaminated control. Live biomass only (litter is reported separately from 2007; the 2006 harvest did not separate them, so the record begins in 2007).</w:t>
      </w:r>
    </w:p>
    <w:p>
      <w:r>
        <w:rPr>
          <w:b/>
        </w:rPr>
        <w:t xml:space="preserve">PIE (TIDE nutrient-enrichment experiment; knb-lter-pie.202.5). </w:t>
      </w:r>
      <w:r>
        <w:t>TIDE marsh grass shoot mass (biomass proxy): mean shoot mass per species summed across species per transect; species, creek and branch codes were trimmed of stray whitespace. Reference creeks are West and Nelson; Sweeney (2004-2012) and Clubhead (2005, 2009-2019) were treated as nutrient-enriched only in the years they were fertilized, and other creek-years were dropped.</w:t>
      </w:r>
    </w:p>
    <w:p>
      <w:r>
        <w:rPr>
          <w:b/>
        </w:rPr>
        <w:t xml:space="preserve">SBC (Long-term kelp removal experiment; knb-lter-sbc.119.13). </w:t>
      </w:r>
      <w:r>
        <w:t>Long-term kelp-removal experiment; annual and continual removal vs. control transects. The missing-value code -99999 was set to missing. Response = summed dry biomass of understory algae and invertebrates (mobile fish and the removed giant kelp excluded). January 2008 surveys, which preceded the first removal, were excluded. Treatments were compared with the control transect at the same reef.</w:t>
      </w:r>
    </w:p>
    <w:p>
      <w:r>
        <w:rPr>
          <w:b/>
        </w:rPr>
        <w:t xml:space="preserve">SEV (NFert experiment; knb-lter-sev.186.208431). </w:t>
      </w:r>
      <w:r>
        <w:t>N fertilization experiment; biomass summed over species within quadrat, quadrats averaged per plot and season; fertilized vs. control plots.</w:t>
      </w:r>
    </w:p>
    <w:p>
      <w:r>
        <w:rPr>
          <w:b/>
        </w:rPr>
        <w:t xml:space="preserve">VCR (Upper Phillips Creek inundation and wrack experiment; knb-lter-vcr.168.24). </w:t>
      </w:r>
      <w:r>
        <w:t>Upper Phillips Creek inundation and wrack experiment: wrack was laid over half of each of nine plots in April 1994. The wrack half (transect W) was compared with the no-wrack half (V) of the same plots, 1994-1998; response = live aboveground biomass (species summed per 0.0625 m2 quadrat, x16 to g m-2, quadrats averaged per plot). The package does not identify which plots were flooded, so the inundation treatment was not analyzed.</w:t>
      </w:r>
    </w:p>
    <w:p>
      <w:r>
        <w:br w:type="page"/>
      </w:r>
    </w:p>
    <w:p>
      <w:r>
        <w:drawing>
          <wp:inline xmlns:a="http://schemas.openxmlformats.org/drawingml/2006/main" xmlns:pic="http://schemas.openxmlformats.org/drawingml/2006/picture">
            <wp:extent cx="5486400" cy="3990109"/>
            <wp:docPr id="1" name="Picture 1"/>
            <wp:cNvGraphicFramePr>
              <a:graphicFrameLocks noChangeAspect="1"/>
            </wp:cNvGraphicFramePr>
            <a:graphic>
              <a:graphicData uri="http://schemas.openxmlformats.org/drawingml/2006/picture">
                <pic:pic>
                  <pic:nvPicPr>
                    <pic:cNvPr id="0" name="FigS1_early_vs_full_sensitivity.png"/>
                    <pic:cNvPicPr/>
                  </pic:nvPicPr>
                  <pic:blipFill>
                    <a:blip r:embed="rId9"/>
                    <a:stretch>
                      <a:fillRect/>
                    </a:stretch>
                  </pic:blipFill>
                  <pic:spPr>
                    <a:xfrm>
                      <a:off x="0" y="0"/>
                      <a:ext cx="5486400" cy="3990109"/>
                    </a:xfrm>
                    <a:prstGeom prst="rect"/>
                  </pic:spPr>
                </pic:pic>
              </a:graphicData>
            </a:graphic>
          </wp:inline>
        </w:drawing>
      </w:r>
    </w:p>
    <w:p>
      <w:r>
        <w:rPr>
          <w:b/>
        </w:rPr>
        <w:t xml:space="preserve">Figure S1. </w:t>
      </w:r>
      <w:r>
        <w:t>Sensitivity of the early-versus-full-duration classification to the tolerance used to define agreement. Bars show the percentage of the 77 treatment-experiment combinations whose three-year estimate was classified as an underestimate, overestimate, or wrong-direction prediction of the full-record response, for tolerated differences between the early and full-record response ratios of 10% to 150% (|early - full LRR| &lt; ln(1 + tolerance)). The main text uses 20% (|early - full LRR| &lt; 0.182). The seven wrong-direction cases (opposite signs, both |LRR| &gt; 0.1) do not depend on the tolerance. Mispredicted treatments (of 77) at tolerances of 10, 20, 30, 50, 100 and 150%: 48, 31, 23, 18, 10 and 7.</w:t>
      </w:r>
    </w:p>
    <w:p>
      <w:r>
        <w:rPr>
          <w:b/>
        </w:rPr>
        <w:t xml:space="preserve">Table S1. </w:t>
      </w:r>
      <w:r>
        <w:t>Details of the 18 case-study datasets: setting, experiment, manipulation, response variable and type, years analyzed, number of years sampled, number of analyzable treatments (in parentheses, the number screened), EDI data-package identifier, data citation, and dataset-specific processing notes (also given in the Supplementary Methods). (Workbook.)</w:t>
      </w:r>
    </w:p>
    <w:p>
      <w:r>
        <w:rPr>
          <w:b/>
        </w:rPr>
        <w:t xml:space="preserve">Table S2. </w:t>
      </w:r>
      <w:r>
        <w:t>Per-treatment statistics for the 78 classified treatment-experiment combinations: trend class, slope, P-value and R-squared of the linear fit of the response ratio over time, coefficient of variation (CV), mean response ratio, number of timepoints, record length, early (first three calendar years) and full-duration log response ratios (LRR) with their difference and classification (accurate, underestimate, overestimate, wrong direction; early and full-record response ratios within 20%), years to first detection of a significant trend (directional treatments only), the number, percentage (of consecutive measurement transitions), and years of sign flips, and the P-value and directional call when the trend analysis is repeated on the log response ratio. (Workbook.)</w:t>
      </w:r>
    </w:p>
    <w:p>
      <w:r>
        <w:rPr>
          <w:b/>
        </w:rPr>
        <w:t xml:space="preserve">Table S3. </w:t>
      </w:r>
      <w:r>
        <w:t>SiZer results for the 74 treatment-experiment combinations with at least five timepoints: number of significant slope changes at a 5-year bandwidth, the years at which they occurred, and segment slopes with P-values. (Workbook.)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