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3A" w:rsidRDefault="00040DF8" w:rsidP="00040DF8">
      <w:pPr>
        <w:pStyle w:val="Title"/>
        <w:jc w:val="center"/>
        <w:rPr>
          <w:sz w:val="52"/>
          <w:szCs w:val="52"/>
        </w:rPr>
      </w:pPr>
      <w:r w:rsidRPr="00040DF8">
        <w:rPr>
          <w:sz w:val="52"/>
          <w:szCs w:val="52"/>
        </w:rPr>
        <w:t>SYS800 Reconnaissance de formes</w:t>
      </w:r>
      <w:r>
        <w:br/>
      </w:r>
      <w:r w:rsidRPr="00040DF8">
        <w:rPr>
          <w:sz w:val="52"/>
          <w:szCs w:val="52"/>
        </w:rPr>
        <w:t>Laboratoire 2 : Algorithmes de classification</w:t>
      </w:r>
    </w:p>
    <w:p w:rsidR="00040DF8" w:rsidRDefault="00040DF8" w:rsidP="00040DF8"/>
    <w:p w:rsidR="00E107F2" w:rsidRDefault="00E107F2" w:rsidP="00E107F2">
      <w:pPr>
        <w:pStyle w:val="Heading1"/>
        <w:numPr>
          <w:ilvl w:val="0"/>
          <w:numId w:val="1"/>
        </w:numPr>
      </w:pPr>
      <w:r>
        <w:t>Bayes quadratique</w:t>
      </w:r>
    </w:p>
    <w:p w:rsidR="00E107F2" w:rsidRPr="007A5D9D" w:rsidRDefault="00A57B36" w:rsidP="00387E71">
      <w:r>
        <w:t>Pour ce premier algorithme de classification, nous allons utiliser la règle de Bayes</w:t>
      </w:r>
      <w:r w:rsidR="007A5D9D">
        <w:t xml:space="preserve"> qui calcule la probabilité à posteriori </w:t>
      </w:r>
      <w:r w:rsidR="0064028D">
        <w:t>p(ω</w:t>
      </w:r>
      <w:r w:rsidR="0064028D">
        <w:rPr>
          <w:vertAlign w:val="subscript"/>
        </w:rPr>
        <w:t>j</w:t>
      </w:r>
      <w:r w:rsidR="0064028D">
        <w:t xml:space="preserve">|x) </w:t>
      </w:r>
      <w:r w:rsidR="007A5D9D">
        <w:t>qu’un nouvel élément</w:t>
      </w:r>
      <w:r w:rsidR="0064028D">
        <w:t xml:space="preserve"> x</w:t>
      </w:r>
      <w:r w:rsidR="007A5D9D">
        <w:t xml:space="preserve"> appartienne à la classe ω</w:t>
      </w:r>
      <w:r w:rsidR="007A5D9D">
        <w:rPr>
          <w:vertAlign w:val="subscript"/>
        </w:rPr>
        <w:t>j</w:t>
      </w:r>
      <w:r w:rsidR="0064028D">
        <w:rPr>
          <w:vertAlign w:val="subscript"/>
        </w:rPr>
        <w:t> </w:t>
      </w:r>
      <w:r w:rsidR="0064028D">
        <w:t>:</w:t>
      </w:r>
    </w:p>
    <w:p w:rsidR="00B719EE" w:rsidRPr="004B5D00" w:rsidRDefault="004B5D00" w:rsidP="00E107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:rsidR="007405E4" w:rsidRDefault="007405E4" w:rsidP="007405E4">
      <w:pPr>
        <w:rPr>
          <w:rFonts w:eastAsiaTheme="minorEastAsia"/>
        </w:rPr>
      </w:pPr>
      <w:r>
        <w:t xml:space="preserve"> </w:t>
      </w:r>
      <w:r w:rsidR="008A143D">
        <w:t>Dans</w:t>
      </w:r>
      <w:r w:rsidR="004227A1">
        <w:t xml:space="preserve"> notre cas, les probabilités à priori de chaque classe P(ω</w:t>
      </w:r>
      <w:r w:rsidR="004227A1">
        <w:rPr>
          <w:vertAlign w:val="subscript"/>
        </w:rPr>
        <w:t>j</w:t>
      </w:r>
      <w:r w:rsidR="004227A1">
        <w:t xml:space="preserve">) </w:t>
      </w:r>
      <w:r w:rsidR="00842D6A">
        <w:t xml:space="preserve">sont égales car nous savons que la base de données contient le même nombre d’élément pour chacune des dix classes. </w:t>
      </w:r>
      <w:r w:rsidR="00657D5D">
        <w:t>Nous avo</w:t>
      </w:r>
      <w:r w:rsidR="00CB6CD2">
        <w:t>ns donc pour toutes les classes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657D5D">
        <w:rPr>
          <w:rFonts w:eastAsiaTheme="minorEastAsia"/>
        </w:rPr>
        <w:t>.</w:t>
      </w:r>
    </w:p>
    <w:p w:rsidR="00CB6CD2" w:rsidRDefault="00CB6CD2" w:rsidP="007405E4">
      <w:r>
        <w:rPr>
          <w:rFonts w:eastAsiaTheme="minorEastAsia"/>
        </w:rPr>
        <w:t>La priorité à priori p(x|</w:t>
      </w:r>
      <w:r w:rsidRPr="00CB6CD2">
        <w:t xml:space="preserve"> </w:t>
      </w:r>
      <w:r>
        <w:t>ω</w:t>
      </w:r>
      <w:r>
        <w:rPr>
          <w:vertAlign w:val="subscript"/>
        </w:rPr>
        <w:t>j</w:t>
      </w:r>
      <w:r>
        <w:rPr>
          <w:rFonts w:eastAsiaTheme="minorEastAsia"/>
        </w:rPr>
        <w:t xml:space="preserve">) qu’un élément x appartienne à la classe </w:t>
      </w:r>
      <w:r>
        <w:t>ω</w:t>
      </w:r>
      <w:r>
        <w:rPr>
          <w:vertAlign w:val="subscript"/>
        </w:rPr>
        <w:t>j</w:t>
      </w:r>
      <w:r>
        <w:t xml:space="preserve"> est définie par :</w:t>
      </w:r>
    </w:p>
    <w:p w:rsidR="007221CE" w:rsidRPr="00D1286A" w:rsidRDefault="00D1286A" w:rsidP="00D1286A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(2π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exp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sup>
          </m:sSup>
        </m:oMath>
      </m:oMathPara>
    </w:p>
    <w:p w:rsidR="007221CE" w:rsidRPr="00D86724" w:rsidRDefault="00D86724" w:rsidP="00590CE9">
      <w:r>
        <w:t>Avec d le nombre de caractéristiques, µ</w:t>
      </w:r>
      <w:r>
        <w:rPr>
          <w:vertAlign w:val="subscript"/>
        </w:rPr>
        <w:t>j</w:t>
      </w:r>
      <w:r>
        <w:t xml:space="preserve"> </w:t>
      </w:r>
      <w:r w:rsidR="00260357">
        <w:t>et Σ</w:t>
      </w:r>
      <w:r w:rsidR="00260357">
        <w:rPr>
          <w:vertAlign w:val="subscript"/>
        </w:rPr>
        <w:t>j</w:t>
      </w:r>
      <w:r w:rsidR="00260357">
        <w:t xml:space="preserve"> respectivement le vecteur moyenne et la matrice de covariance de la classe j obtenue à partir de la base d’apprentissage. </w:t>
      </w:r>
    </w:p>
    <w:p w:rsidR="00CB6CD2" w:rsidRDefault="0008672D" w:rsidP="007405E4">
      <w:r>
        <w:t xml:space="preserve">Pour classifier un élément inconnu x, nous calculerons les probabilités que cet élément appartienne à chacune des classes, </w:t>
      </w:r>
      <w:r w:rsidR="0053676B">
        <w:t xml:space="preserve">et la décision sera prise selon la plus grande probabilité. </w:t>
      </w:r>
    </w:p>
    <w:p w:rsidR="00061494" w:rsidRDefault="00082751" w:rsidP="007405E4">
      <w:r>
        <w:t xml:space="preserve">Dans les logiciels de mathématiques comme Matlab, </w:t>
      </w:r>
      <w:r w:rsidR="0098506A">
        <w:t>certaines fonctions comme</w:t>
      </w:r>
      <w:r>
        <w:t xml:space="preserve"> </w:t>
      </w:r>
      <w:r w:rsidR="0098506A">
        <w:t>l’exponentielle font</w:t>
      </w:r>
      <w:r>
        <w:t xml:space="preserve"> appel à de long développement de Taylor qui coûte cher en ressource et en temps de calcul. </w:t>
      </w:r>
      <w:r w:rsidR="0098506A">
        <w:t xml:space="preserve">Il est donc courant d’utiliser des fonctions monotones croissantes afin de transformer une expression sous une forme qui ne fera pas appel à ce genre de fonction, tout en conservant l’ordre. </w:t>
      </w:r>
      <w:r w:rsidR="00EC79F6">
        <w:t xml:space="preserve">Dans notre cas, nous pouvons utiliser la fonction monotone et croissante logarithme népérien </w:t>
      </w:r>
      <w:r w:rsidR="0061631F">
        <w:t>qui</w:t>
      </w:r>
      <w:r w:rsidR="004C596A">
        <w:t xml:space="preserve"> retirera la fonction exponentielle de notre expression. </w:t>
      </w:r>
    </w:p>
    <w:p w:rsidR="00D018B2" w:rsidRPr="00D018B2" w:rsidRDefault="007B6B3E" w:rsidP="007405E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A23194" w:rsidRPr="00A23194" w:rsidRDefault="00A23194" w:rsidP="007405E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2π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Cs w:val="24"/>
            </w:rPr>
            <m:t>ln⁡</m:t>
          </m:r>
          <m:r>
            <w:rPr>
              <w:rFonts w:ascii="Cambria Math" w:hAnsi="Cambria Math"/>
              <w:szCs w:val="24"/>
            </w:rPr>
            <m:t>(p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050028" w:rsidRPr="00061494" w:rsidRDefault="00A23194" w:rsidP="007405E4">
      <w:pPr>
        <w:rPr>
          <w:rFonts w:eastAsiaTheme="minorEastAsia"/>
        </w:rPr>
      </w:pPr>
      <w:r>
        <w:rPr>
          <w:rFonts w:eastAsiaTheme="minorEastAsia"/>
        </w:rPr>
        <w:t>Nous pouvons également retirer de l’expression les éléments qui sont c</w:t>
      </w:r>
      <w:r w:rsidR="00C55794">
        <w:rPr>
          <w:rFonts w:eastAsiaTheme="minorEastAsia"/>
        </w:rPr>
        <w:t xml:space="preserve">onstant pour toutes les classes et donc qui n’influenceront pas l’ordre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 xml:space="preserve">et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func>
      </m:oMath>
      <w:r w:rsidR="00C55794">
        <w:rPr>
          <w:rFonts w:eastAsiaTheme="minorEastAsia"/>
        </w:rPr>
        <w:t xml:space="preserve"> puisque dans notre cas, les probabilités à priori des 10 classes sont toutes les mêmes.</w:t>
      </w:r>
      <w:r w:rsidR="002B2B94">
        <w:rPr>
          <w:rFonts w:eastAsiaTheme="minorEastAsia"/>
        </w:rPr>
        <w:t xml:space="preserve"> On obtient :</w:t>
      </w:r>
    </w:p>
    <w:p w:rsidR="00425AD5" w:rsidRPr="00E6273F" w:rsidRDefault="007B6B3E" w:rsidP="00EF12A8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bSup>
          <m:r>
            <w:rPr>
              <w:rFonts w:ascii="Cambria Math" w:hAnsi="Cambria Math"/>
              <w:szCs w:val="24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E6273F" w:rsidRPr="002F57BB" w:rsidRDefault="00C01E16" w:rsidP="00C01E16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 xml:space="preserve">L’ordre n’ayant pas été changé, nous chercherons toujours la plus haute valeur pour classifier les nouveaux éléments x. </w:t>
      </w:r>
      <w:r w:rsidR="00E70CFD">
        <w:rPr>
          <w:rFonts w:eastAsiaTheme="minorEastAsia"/>
          <w:szCs w:val="24"/>
        </w:rPr>
        <w:t xml:space="preserve">Nous remarquons </w:t>
      </w:r>
      <w:r w:rsidR="000E61BE">
        <w:rPr>
          <w:rFonts w:eastAsiaTheme="minorEastAsia"/>
          <w:szCs w:val="24"/>
        </w:rPr>
        <w:t xml:space="preserve">dans cette expression la présence de la distance de </w:t>
      </w:r>
      <w:r w:rsidR="00835AE6">
        <w:rPr>
          <w:rFonts w:eastAsiaTheme="minorEastAsia"/>
          <w:szCs w:val="24"/>
        </w:rPr>
        <w:t>Mahalanobis</w:t>
      </w:r>
      <m:oMath>
        <m:r>
          <w:rPr>
            <w:rFonts w:ascii="Cambria Math" w:hAnsi="Cambria Math"/>
            <w:szCs w:val="24"/>
          </w:rPr>
          <m:t>(x-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µ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Cs w:val="24"/>
              </w:rPr>
              <m:t>-1</m:t>
            </m:r>
          </m:sup>
        </m:sSubSup>
        <m:r>
          <w:rPr>
            <w:rFonts w:ascii="Cambria Math" w:hAnsi="Cambria Math"/>
            <w:szCs w:val="24"/>
          </w:rPr>
          <m:t>(x-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µ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3A5718">
        <w:rPr>
          <w:rFonts w:eastAsiaTheme="minorEastAsia"/>
          <w:szCs w:val="24"/>
        </w:rPr>
        <w:t xml:space="preserve">. </w:t>
      </w:r>
      <w:r w:rsidR="00664BC9">
        <w:rPr>
          <w:rFonts w:eastAsiaTheme="minorEastAsia"/>
          <w:szCs w:val="24"/>
        </w:rPr>
        <w:t xml:space="preserve">Pour classer un élément dans une classe, nous cherchons la distance la plus courte. </w:t>
      </w:r>
      <w:r w:rsidR="00232B34">
        <w:rPr>
          <w:rFonts w:eastAsiaTheme="minorEastAsia"/>
          <w:szCs w:val="24"/>
        </w:rPr>
        <w:t xml:space="preserve">Il faut donc minimiser ce terme :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(x-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µ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Cs w:val="24"/>
              </w:rPr>
              <m:t>-1</m:t>
            </m:r>
          </m:sup>
        </m:sSubSup>
        <m:r>
          <w:rPr>
            <w:rFonts w:ascii="Cambria Math" w:hAnsi="Cambria Math"/>
            <w:szCs w:val="24"/>
          </w:rPr>
          <m:t>(x-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µ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232B34">
        <w:rPr>
          <w:rFonts w:eastAsiaTheme="minorEastAsia"/>
          <w:szCs w:val="24"/>
        </w:rPr>
        <w:t xml:space="preserve"> ce qui équivaut à maximiser ce terme : </w:t>
      </w:r>
      <m:oMath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(x-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µ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Cs w:val="24"/>
              </w:rPr>
              <m:t>-1</m:t>
            </m:r>
          </m:sup>
        </m:sSubSup>
        <m:r>
          <w:rPr>
            <w:rFonts w:ascii="Cambria Math" w:hAnsi="Cambria Math"/>
            <w:szCs w:val="24"/>
          </w:rPr>
          <m:t>(x-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µ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232B34">
        <w:rPr>
          <w:rFonts w:eastAsiaTheme="minorEastAsia"/>
          <w:szCs w:val="24"/>
        </w:rPr>
        <w:t xml:space="preserve"> et donc notre expression. </w:t>
      </w:r>
    </w:p>
    <w:p w:rsidR="009F4451" w:rsidRDefault="00CA0C50" w:rsidP="009F4451">
      <w:r>
        <w:t xml:space="preserve">Sur la base de test de 1000 éléments, l’algorithme nous donne un taux d’erreur de 6.5%. </w:t>
      </w:r>
      <w:r w:rsidR="00331182">
        <w:t xml:space="preserve">Afin d’analyser les performances de ce classifieur, </w:t>
      </w:r>
      <w:r w:rsidR="00BD64A6">
        <w:t xml:space="preserve">nous dressons la matrice de confusion qui présente </w:t>
      </w:r>
      <w:r w:rsidR="009F4451">
        <w:t>le nombre d</w:t>
      </w:r>
      <w:r w:rsidR="00933309">
        <w:t xml:space="preserve">e fois que les 10 différentes décisions ont été prises selon les dix classes possibles. </w:t>
      </w:r>
      <w:r w:rsidR="003714F3">
        <w:t>Nous pouvons</w:t>
      </w:r>
      <w:r w:rsidR="005A225D">
        <w:t xml:space="preserve"> alors trouver sur la diagonale le nombre de fois que la bonne décision a été prise et en analysant le</w:t>
      </w:r>
      <w:r w:rsidR="003714F3">
        <w:t xml:space="preserve"> reste de la matrice, nous pouvons observer les cas les plus difficiles à classifier. </w:t>
      </w:r>
    </w:p>
    <w:p w:rsidR="00F8229A" w:rsidRDefault="00233620" w:rsidP="00233620">
      <w:pPr>
        <w:jc w:val="center"/>
      </w:pPr>
      <w:r w:rsidRPr="00233620">
        <w:drawing>
          <wp:inline distT="0" distB="0" distL="0" distR="0">
            <wp:extent cx="5760720" cy="1814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F3" w:rsidRDefault="00AA1252" w:rsidP="009F4451">
      <w:r>
        <w:t>Nous remarquons en analysant la matrice de confusion qu</w:t>
      </w:r>
      <w:r w:rsidR="00857BAA">
        <w:t>e les erreurs de classification</w:t>
      </w:r>
      <w:r>
        <w:t xml:space="preserve"> se produisent le plus lorsque l’on essaye de classifier </w:t>
      </w:r>
      <w:r w:rsidR="00D10AF5">
        <w:t>les chiffres 3 (11% d’erreur) et 5</w:t>
      </w:r>
      <w:r>
        <w:t xml:space="preserve"> (13% d’erreur). </w:t>
      </w:r>
      <w:r w:rsidR="00A66A7E">
        <w:t>Le</w:t>
      </w:r>
      <w:r w:rsidR="006947B9">
        <w:t>s</w:t>
      </w:r>
      <w:r w:rsidR="00A66A7E">
        <w:t xml:space="preserve"> erreurs le</w:t>
      </w:r>
      <w:r w:rsidR="00F43F26">
        <w:t>s</w:t>
      </w:r>
      <w:r w:rsidR="00A66A7E">
        <w:t xml:space="preserve"> plus courantes sont de prendre un </w:t>
      </w:r>
      <w:r w:rsidR="00D10AF5">
        <w:t>chiffre 3 pour un 2 (7% des chiffres 3</w:t>
      </w:r>
      <w:r w:rsidR="00A66A7E">
        <w:t xml:space="preserve">) et un </w:t>
      </w:r>
      <w:r w:rsidR="00D10AF5">
        <w:t>chiffre 5 pour un 3 (7% des chiffres 5</w:t>
      </w:r>
      <w:r w:rsidR="00A66A7E">
        <w:t xml:space="preserve">). </w:t>
      </w:r>
    </w:p>
    <w:p w:rsidR="00857BAA" w:rsidRPr="00657D5D" w:rsidRDefault="00857BAA" w:rsidP="009F4451">
      <w:r>
        <w:t xml:space="preserve">Nous remarquons également que ce sont les </w:t>
      </w:r>
      <w:r w:rsidR="007B6B3E">
        <w:t>chiffres 2 et 8</w:t>
      </w:r>
      <w:r>
        <w:t xml:space="preserve"> qui sont le plus souvent sollicitées avec respectivemen</w:t>
      </w:r>
      <w:r w:rsidR="00CE2B6F">
        <w:t xml:space="preserve">t 11.6% et 11.2% des décisions et </w:t>
      </w:r>
      <w:r w:rsidR="007B6B3E">
        <w:t xml:space="preserve">que </w:t>
      </w:r>
      <w:r w:rsidR="00CE2B6F">
        <w:t xml:space="preserve">les </w:t>
      </w:r>
      <w:r w:rsidR="007B6B3E">
        <w:t xml:space="preserve">chiffres 5, 8 et 1 </w:t>
      </w:r>
      <w:bookmarkStart w:id="0" w:name="_GoBack"/>
      <w:bookmarkEnd w:id="0"/>
      <w:r w:rsidR="00CE2B6F">
        <w:t>sont les plus difficiles à reconnaître avec respectivement 8.7%, 9.1% et 9.2%</w:t>
      </w:r>
      <w:r w:rsidR="00710382">
        <w:t xml:space="preserve"> des décisions.</w:t>
      </w:r>
      <w:r w:rsidR="00EB17F9">
        <w:t xml:space="preserve"> Nous pouvons donc deviner l’allure des frontières entre les classes d’après la matrice de confusion. </w:t>
      </w:r>
    </w:p>
    <w:sectPr w:rsidR="00857BAA" w:rsidRPr="00657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C1EDE"/>
    <w:multiLevelType w:val="hybridMultilevel"/>
    <w:tmpl w:val="32D47990"/>
    <w:lvl w:ilvl="0" w:tplc="46CC74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72271"/>
    <w:multiLevelType w:val="hybridMultilevel"/>
    <w:tmpl w:val="FFB68C5A"/>
    <w:lvl w:ilvl="0" w:tplc="300226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F8"/>
    <w:rsid w:val="00040DF8"/>
    <w:rsid w:val="00050028"/>
    <w:rsid w:val="00061494"/>
    <w:rsid w:val="00082751"/>
    <w:rsid w:val="0008672D"/>
    <w:rsid w:val="000E4233"/>
    <w:rsid w:val="000E61BE"/>
    <w:rsid w:val="000E7BAA"/>
    <w:rsid w:val="00232B34"/>
    <w:rsid w:val="00233620"/>
    <w:rsid w:val="00260357"/>
    <w:rsid w:val="002B2B94"/>
    <w:rsid w:val="002B5452"/>
    <w:rsid w:val="002F57BB"/>
    <w:rsid w:val="00331182"/>
    <w:rsid w:val="003714F3"/>
    <w:rsid w:val="00387E71"/>
    <w:rsid w:val="003A5718"/>
    <w:rsid w:val="004227A1"/>
    <w:rsid w:val="00425AD5"/>
    <w:rsid w:val="004B5D00"/>
    <w:rsid w:val="004C596A"/>
    <w:rsid w:val="005122A5"/>
    <w:rsid w:val="0053676B"/>
    <w:rsid w:val="00561B41"/>
    <w:rsid w:val="00576626"/>
    <w:rsid w:val="00590CE9"/>
    <w:rsid w:val="005A225D"/>
    <w:rsid w:val="0061631F"/>
    <w:rsid w:val="0064028D"/>
    <w:rsid w:val="00657D5D"/>
    <w:rsid w:val="00664BC9"/>
    <w:rsid w:val="006947B9"/>
    <w:rsid w:val="006C4313"/>
    <w:rsid w:val="00710382"/>
    <w:rsid w:val="007221CE"/>
    <w:rsid w:val="0073226C"/>
    <w:rsid w:val="007405E4"/>
    <w:rsid w:val="00740C3D"/>
    <w:rsid w:val="007A5D9D"/>
    <w:rsid w:val="007B6B3E"/>
    <w:rsid w:val="007F033A"/>
    <w:rsid w:val="00835AE6"/>
    <w:rsid w:val="00842D6A"/>
    <w:rsid w:val="00857BAA"/>
    <w:rsid w:val="008A143D"/>
    <w:rsid w:val="008A2313"/>
    <w:rsid w:val="00933309"/>
    <w:rsid w:val="0098506A"/>
    <w:rsid w:val="0099124F"/>
    <w:rsid w:val="009F4451"/>
    <w:rsid w:val="00A23194"/>
    <w:rsid w:val="00A57B36"/>
    <w:rsid w:val="00A66A7E"/>
    <w:rsid w:val="00AA1252"/>
    <w:rsid w:val="00B53AEE"/>
    <w:rsid w:val="00B719EE"/>
    <w:rsid w:val="00BB2A95"/>
    <w:rsid w:val="00BB2F85"/>
    <w:rsid w:val="00BD64A6"/>
    <w:rsid w:val="00BE4DC6"/>
    <w:rsid w:val="00C01E16"/>
    <w:rsid w:val="00C55794"/>
    <w:rsid w:val="00C86463"/>
    <w:rsid w:val="00CA0C50"/>
    <w:rsid w:val="00CB6CD2"/>
    <w:rsid w:val="00CE2B6F"/>
    <w:rsid w:val="00D018B2"/>
    <w:rsid w:val="00D10AF5"/>
    <w:rsid w:val="00D1286A"/>
    <w:rsid w:val="00D86724"/>
    <w:rsid w:val="00E107F2"/>
    <w:rsid w:val="00E6273F"/>
    <w:rsid w:val="00E70CFD"/>
    <w:rsid w:val="00EB17F9"/>
    <w:rsid w:val="00EC79F6"/>
    <w:rsid w:val="00EF12A8"/>
    <w:rsid w:val="00F43F26"/>
    <w:rsid w:val="00F8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2584E-A94B-412B-B089-5D945A1B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E71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07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B5D00"/>
    <w:rPr>
      <w:color w:val="808080"/>
    </w:rPr>
  </w:style>
  <w:style w:type="paragraph" w:styleId="NoSpacing">
    <w:name w:val="No Spacing"/>
    <w:uiPriority w:val="1"/>
    <w:qFormat/>
    <w:rsid w:val="00387E71"/>
    <w:pPr>
      <w:spacing w:after="0"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74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77</cp:revision>
  <dcterms:created xsi:type="dcterms:W3CDTF">2014-11-02T00:26:00Z</dcterms:created>
  <dcterms:modified xsi:type="dcterms:W3CDTF">2014-11-14T20:24:00Z</dcterms:modified>
</cp:coreProperties>
</file>