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TokenStars 音乐平台商业与产品设计</w:t>
      </w:r>
    </w:p>
    <w:p>
      <w:pPr>
        <w:pStyle w:val="Subtitle"/>
      </w:pPr>
      <w:r>
        <w:t>日本首发方案  版本零点一</w:t>
      </w:r>
    </w:p>
    <w:p>
      <w:r>
        <w:rPr>
          <w:b w:val="0"/>
          <w:sz w:val="20"/>
        </w:rPr>
        <w:t>研究基准日 2026年9月9日    产品工作名 LOOPSCENE</w:t>
      </w:r>
    </w:p>
    <w:p>
      <w:r>
        <w:rPr>
          <w:b/>
        </w:rPr>
        <w:t>建议以有退出条件的十二周验证项目启动。首发服务日本18岁以上、持续发布短视频的个人创作者，生成30秒无歌词配乐，支持试听、裁剪、下载和逐曲使用条件记录。先验证真实付款与再次使用，再投入完整歌曲和社区。</w:t>
      </w:r>
    </w:p>
    <w:p>
      <w:pPr>
        <w:pStyle w:val="Heading2"/>
      </w:pPr>
      <w:r>
        <w:t>本次建议确定的四个方向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5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首发场景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个人短视频的原创配乐。夜景与生活记录为第一组实验，穿搭和游戏剪辑为对照。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商业模式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先按次付费验证；复购达标后开放有限额度月订阅，保留单次包。暂不卖年费和不限量。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技术基础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AWS EKS RDS ALB S3；GPT经TokenStars处理文本；音频由独立取得企业授权的音乐供应商生成。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上线条件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公司主体、企业API及下游使用授权、支付消费者规则、单位贡献和故障退款流程全部落实。</w:t>
            </w:r>
          </w:p>
        </w:tc>
      </w:tr>
    </w:tbl>
    <w:p>
      <w:pPr>
        <w:spacing w:after="0"/>
      </w:pPr>
    </w:p>
    <w:p>
      <w:pPr>
        <w:pStyle w:val="Heading2"/>
      </w:pPr>
      <w:r>
        <w:t>可以推进 但尚不能认定已具备收费上线条件</w:t>
      </w:r>
    </w:p>
    <w:p>
      <w:r>
        <w:rPr>
          <w:b w:val="0"/>
        </w:rPr>
        <w:t>已确认存在可洽谈的官方音乐API。也发现关键限制：ElevenLabs另设转售及音乐平台要求；SOUNDRAW公开API合同对下载列有分成规定。个人订阅允许商用，不能替代平台经营授权。[R04–R08]</w:t>
      </w:r>
    </w:p>
    <w:p>
      <w:r>
        <w:rPr>
          <w:b w:val="0"/>
        </w:rPr>
        <w:t>基准测算假设月费1,980日元、20次额度、上游固定单价且无收入分成。平均订阅贡献率约56.6%，用满额度约32.8%；1,000名订阅用户仍约亏15.3万日元/月，保本约需1,154人。上述授权和成本是待验证假设。</w:t>
      </w:r>
    </w:p>
    <w:p>
      <w:r>
        <w:rPr>
          <w:b w:val="0"/>
          <w:sz w:val="18"/>
        </w:rPr>
        <w:t>本稿是产品与商业研究及实施设计，不是日本律师出具的法律意见。已核验事实、设计建议和待确认事项分别标注；没有实际模型质量测试、付费实验、签约、上线或真实支付。</w:t>
      </w:r>
    </w:p>
    <w:p>
      <w:r>
        <w:br w:type="page"/>
      </w:r>
    </w:p>
    <w:p>
      <w:pPr>
        <w:pStyle w:val="Heading1"/>
      </w:pPr>
      <w:r>
        <w:t>01 业务定位与验证范围</w:t>
      </w:r>
    </w:p>
    <w:p>
      <w:r>
        <w:rPr>
          <w:b w:val="0"/>
        </w:rPr>
        <w:t>TokenStars继续承担统一模型接入、账期和账单能力。音乐产品可以复用这些能力，但必须独立证明消费者愿意付费。平台内部产生Token消耗，不等于TokenStars外部市场需求已经得到验证。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3"/>
        <w:gridCol w:w="3974"/>
        <w:gridCol w:w="4320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业务</w:t>
            </w:r>
          </w:p>
        </w:tc>
        <w:tc>
          <w:tcPr>
            <w:tcW w:type="dxa" w:w="39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当前验证问题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音乐业务可复用的部分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TokenStars</w:t>
            </w:r>
          </w:p>
        </w:tc>
        <w:tc>
          <w:tcPr>
            <w:tcW w:type="dxa" w:w="39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企业是否愿意为接入、账期和管理付费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模型采购、计量、成本治理、供应商管理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HABA知识库</w:t>
            </w:r>
          </w:p>
        </w:tc>
        <w:tc>
          <w:tcPr>
            <w:tcW w:type="dxa" w:w="39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企业知识检索是否改善具体工作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身份权限、审计、项目交付方法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AI视频平台</w:t>
            </w:r>
          </w:p>
        </w:tc>
        <w:tc>
          <w:tcPr>
            <w:tcW w:type="dxa" w:w="39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个人创作者是否愿意为视频结果付费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后续可验证配乐交叉销售；不默认共享用户数据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音乐新产品</w:t>
            </w:r>
          </w:p>
        </w:tc>
        <w:tc>
          <w:tcPr>
            <w:tcW w:type="dxa" w:w="397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创作者是否为更快完成配乐持续付款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独立漏斗、P&amp;L、负责人和停止条件</w:t>
            </w:r>
          </w:p>
        </w:tc>
      </w:tr>
    </w:tbl>
    <w:p>
      <w:pPr>
        <w:spacing w:after="0"/>
      </w:pPr>
    </w:p>
    <w:p>
      <w:pPr>
        <w:pStyle w:val="Heading2"/>
      </w:pPr>
      <w:r>
        <w:t>不把市场推进慢直接归因于日本市场</w:t>
      </w:r>
    </w:p>
    <w:p>
      <w:r>
        <w:rPr>
          <w:b w:val="0"/>
        </w:rPr>
        <w:t>先分清是否触达了目标用户、用户是否有近期任务、是否愿意尝试、作品是否可用、是否支付以及是否再次使用。日本市场节奏只是候选解释，本稿没有证据支持把它作为失败的主要原因。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5026"/>
        <w:gridCol w:w="2606"/>
      </w:tblGrid>
      <w:tr>
        <w:trPr>
          <w:cantSplit/>
          <w:tblHeader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候选切入点</w:t>
            </w:r>
          </w:p>
        </w:tc>
        <w:tc>
          <w:tcPr>
            <w:tcW w:type="dxa" w:w="502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付费逻辑假设</w:t>
            </w:r>
          </w:p>
        </w:tc>
        <w:tc>
          <w:tcPr>
            <w:tcW w:type="dxa" w:w="26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本轮决策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短视频个人创作者</w:t>
            </w:r>
          </w:p>
        </w:tc>
        <w:tc>
          <w:tcPr>
            <w:tcW w:type="dxa" w:w="502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持续发布，节省选曲和裁剪时间</w:t>
            </w:r>
          </w:p>
        </w:tc>
        <w:tc>
          <w:tcPr>
            <w:tcW w:type="dxa" w:w="26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优先验证，18至29岁为招募重点而非唯一用户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生日礼物与纪念歌曲</w:t>
            </w:r>
          </w:p>
        </w:tc>
        <w:tc>
          <w:tcPr>
            <w:tcW w:type="dxa" w:w="502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一次性情绪价值，可能较高客单</w:t>
            </w:r>
          </w:p>
        </w:tc>
        <w:tc>
          <w:tcPr>
            <w:tcW w:type="dxa" w:w="26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后续按单实验；需要人声和歌词授权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独立音乐人和音乐发行</w:t>
            </w:r>
          </w:p>
        </w:tc>
        <w:tc>
          <w:tcPr>
            <w:tcW w:type="dxa" w:w="502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完整编曲、主唱、音轨、发行收益</w:t>
            </w:r>
          </w:p>
        </w:tc>
        <w:tc>
          <w:tcPr>
            <w:tcW w:type="dxa" w:w="26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首发排除；授权和专业质量门槛明显不同</w:t>
            </w:r>
          </w:p>
        </w:tc>
      </w:tr>
    </w:tbl>
    <w:p>
      <w:pPr>
        <w:spacing w:after="0"/>
      </w:pPr>
    </w:p>
    <w:p>
      <w:r>
        <w:rPr>
          <w:b w:val="0"/>
        </w:rPr>
        <w:t>工作名LOOPSCENE仅用于设计讨论，尚未进行商标、域名或同名应用检索。消费者品牌与TokenStars采购品牌可分开，合同和特商法页面必须披露真实经营主体。</w:t>
      </w:r>
    </w:p>
    <w:p>
      <w:r>
        <w:br w:type="page"/>
      </w:r>
    </w:p>
    <w:p>
      <w:pPr>
        <w:pStyle w:val="Heading1"/>
      </w:pPr>
      <w:r>
        <w:t>02 音乐权利链与产品责任</w:t>
      </w:r>
    </w:p>
    <w:p>
      <w:r>
        <w:rPr>
          <w:b w:val="0"/>
        </w:rPr>
        <w:t>音乐并不存在一个包办所有用途的“发行方版权”。需要分别确认词曲、录音、表演、姓名与声音、模型合同以及发行服务合同。我们拥有平台软件，不代表自动拥有生成音乐的完整权利。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240"/>
        <w:gridCol w:w="4939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可能涉及的权利人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首发处理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词曲与歌词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作者、音乐出版社、集体管理机构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不上传既有歌词，不做翻唱改编；仍审核输出相似风险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既有录音与采样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唱片公司、音源制作者及实演者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不接收参考音乐、采样或伴奏文件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改编与译词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原词曲权利人及作者人格权相关主体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关闭改编、歌词续写、译词与替换歌词功能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声音与人物身份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歌手、演员及其他真实人物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首发仅纯音乐；禁声音模仿、暗示代言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生成模型与API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模型提供方及上游许可方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签经营主体适用的API或OEM协议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生成音频的下游使用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依供应商合同及法律判断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限定个人SNS视频使用及约定的收益化范围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音乐发行与分发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发行商、DSP、平台账号协议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首发不代发Spotify等，不进行版税分账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作品识别及索赔系统</w:t>
            </w:r>
          </w:p>
        </w:tc>
        <w:tc>
          <w:tcPr>
            <w:tcW w:type="dxa" w:w="32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Content ID等平台规则</w:t>
            </w:r>
          </w:p>
        </w:tc>
        <w:tc>
          <w:tcPr>
            <w:tcW w:type="dxa" w:w="493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首发禁止登记为排他性音源索赔素材</w:t>
            </w:r>
          </w:p>
        </w:tc>
      </w:tr>
    </w:tbl>
    <w:p>
      <w:pPr>
        <w:spacing w:after="0"/>
      </w:pPr>
    </w:p>
    <w:p>
      <w:r>
        <w:rPr>
          <w:b w:val="0"/>
        </w:rPr>
        <w:t>JASRAC明确区分词曲著作权与市售音源涉及的著作邻接权；编曲、译词等还需要向相关权利人确认。SNS自身的音乐许可不能推导为本平台拥有训练、生成、下载或再次授权的权利。[R03]</w:t>
      </w:r>
    </w:p>
    <w:p>
      <w:r>
        <w:rPr>
          <w:b w:val="0"/>
        </w:rPr>
        <w:t>发行合同可能约定地域、期限、独占、分成与下架；这些属于必须遵守的合同条件，不是对所有音乐自动产生的一种统一权利。将来扩展发行时，必须重新核查每一层。</w:t>
      </w:r>
    </w:p>
    <w:p>
      <w:r>
        <w:br w:type="page"/>
      </w:r>
    </w:p>
    <w:p>
      <w:pPr>
        <w:pStyle w:val="Heading1"/>
      </w:pPr>
      <w:r>
        <w:t>03 日本版权分析与可执行边界</w:t>
      </w:r>
    </w:p>
    <w:p>
      <w:pPr>
        <w:pStyle w:val="Heading2"/>
      </w:pPr>
      <w:r>
        <w:t>生成物能用和生成物有版权是两个问题</w:t>
      </w:r>
    </w:p>
    <w:p>
      <w:r>
        <w:rPr>
          <w:b w:val="0"/>
        </w:rPr>
        <w:t>日本文化厅的分析分别讨论开发学习、生成利用以及生成物的著作物性。AI输出的侵权分析仍关注与既有表达的类似性和依拠性；训练阶段的权利限制条款不能自动覆盖商业生成和传播。该文件是解释性材料，本身并非具有法律拘束力的判决。[R01]</w:t>
      </w:r>
    </w:p>
    <w:p>
      <w:r>
        <w:rPr>
          <w:b w:val="0"/>
        </w:rPr>
        <w:t>人的创作意图和具体创作性贡献影响作品是否受保护。大量尝试、长提示词或简单挑选本身不足以保证版权。产品可以销售生成和编辑服务，即使某份纯AI输出未取得著作权保护，也不代表服务一定无法商业化；但不能向消费者承诺排他所有权。[R01]</w:t>
      </w:r>
    </w:p>
    <w:p>
      <w:pPr>
        <w:pStyle w:val="Heading2"/>
      </w:pPr>
      <w:r>
        <w:t>首发保护措施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963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79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实现和边界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原创场景输入</w:t>
            </w:r>
          </w:p>
        </w:tc>
        <w:tc>
          <w:tcPr>
            <w:tcW w:type="dxa" w:w="79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只接受情绪、乐器、节奏等描述。阻止作品名、歌手名与明显引用的歌词。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限制媒体输入</w:t>
            </w:r>
          </w:p>
        </w:tc>
        <w:tc>
          <w:tcPr>
            <w:tcW w:type="dxa" w:w="79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没有歌曲、伴奏、哼唱或声音上传入口；也不通过URL抓取歌曲。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不保证零侵权</w:t>
            </w:r>
          </w:p>
        </w:tc>
        <w:tc>
          <w:tcPr>
            <w:tcW w:type="dxa" w:w="79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提示词规则、供应商过滤与音频比对只降低风险，不能充当法律鉴定。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记录生成来源</w:t>
            </w:r>
          </w:p>
        </w:tc>
        <w:tc>
          <w:tcPr>
            <w:tcW w:type="dxa" w:w="79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保存输入及编辑历史的适当证据、供应商请求ID、模型和条款版本、音源哈希。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投诉可处理</w:t>
            </w:r>
          </w:p>
        </w:tc>
        <w:tc>
          <w:tcPr>
            <w:tcW w:type="dxa" w:w="796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可定位曲目、暂停售出与下载、保全证据、联系上游并记录复核结果。</w:t>
            </w:r>
          </w:p>
        </w:tc>
      </w:tr>
    </w:tbl>
    <w:p>
      <w:pPr>
        <w:spacing w:after="0"/>
      </w:pPr>
    </w:p>
    <w:p>
      <w:r>
        <w:rPr>
          <w:b w:val="0"/>
        </w:rPr>
        <w:t>“某种音乐风格”不当然受著作权保护；我们限制艺人名和仿声，是供应商合同要求与风险控制的组合，不能把全部风格相似都宣传为违法。[R01、R06]</w:t>
      </w:r>
    </w:p>
    <w:p>
      <w:r>
        <w:rPr>
          <w:b w:val="0"/>
        </w:rPr>
        <w:t>仅向日本居民销售会缩小运营范围，但用户把视频发到全球可见SNS后，仍可能涉及其他法域和平台规则。首发合同应明确允许约定SNS的全球可见传播；“日本首发”不等于全球侵权风险消失。</w:t>
      </w:r>
    </w:p>
    <w:p>
      <w:r>
        <w:br w:type="page"/>
      </w:r>
    </w:p>
    <w:p>
      <w:pPr>
        <w:pStyle w:val="Heading1"/>
      </w:pPr>
      <w:r>
        <w:t>04 音乐模型选择与授权结论</w:t>
      </w:r>
    </w:p>
    <w:p>
      <w:r>
        <w:rPr>
          <w:b w:val="0"/>
        </w:rPr>
        <w:t>当前没有任何候选被认定为已完成商用准入。建议向ElevenLabs企业业务与SOUNDRAW企业业务同时询价，使用同一份产品描述和下游用途清单；采购决定以签署协议为准。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9"/>
        <w:gridCol w:w="4320"/>
        <w:gridCol w:w="4118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已核验的公开事实</w:t>
            </w:r>
          </w:p>
        </w:tc>
        <w:tc>
          <w:tcPr>
            <w:tcW w:type="dxa" w:w="4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对本项目的结论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Eleven Music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有官方音乐API。自助计划转售权被禁止；企业计划为定制。另有纯音乐产品品牌要求。[R04–R06]</w:t>
            </w:r>
          </w:p>
        </w:tc>
        <w:tc>
          <w:tcPr>
            <w:tcW w:type="dxa" w:w="4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优先洽谈企业或OEM。明确我们属于何种客户类别，以及生成、下载和持续使用权。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SOUNDRAW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官方API支持多用户。公开Pro页面为300美元/月、1,000首并注明6个月承诺。[R07]</w:t>
            </w:r>
          </w:p>
        </w:tc>
        <w:tc>
          <w:tcPr>
            <w:tcW w:type="dxa" w:w="4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可洽谈，但公司资格、独立下载、分成和转售限制必须书面澄清。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Suno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现行条款把商用输出与服务层级、获准下载渠道等条件关联。[R09]</w:t>
            </w:r>
          </w:p>
        </w:tc>
        <w:tc>
          <w:tcPr>
            <w:tcW w:type="dxa" w:w="4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可作为体验竞品。未取得官方平台授权前，不接第三方封装API或自动化个人账号。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Google Lyria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官方文档列出Lyria 3的Clip与Pro预览模型及音频生成能力。[R10]</w:t>
            </w:r>
          </w:p>
        </w:tc>
        <w:tc>
          <w:tcPr>
            <w:tcW w:type="dxa" w:w="4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列为技术备选。单独核查预览服务、音乐专项条款、输出权利、地区及生产支持。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自托管模型</w:t>
            </w:r>
          </w:p>
        </w:tc>
        <w:tc>
          <w:tcPr>
            <w:tcW w:type="dxa" w:w="43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代码、权重、训练数据与输出可有不同许可证</w:t>
            </w:r>
          </w:p>
        </w:tc>
        <w:tc>
          <w:tcPr>
            <w:tcW w:type="dxa" w:w="411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不作为MVP主线。不能把可下载权重等同可商业运营。</w:t>
            </w:r>
          </w:p>
        </w:tc>
      </w:tr>
    </w:tbl>
    <w:p>
      <w:pPr>
        <w:spacing w:after="0"/>
      </w:pPr>
    </w:p>
    <w:p>
      <w:pPr>
        <w:pStyle w:val="Heading2"/>
      </w:pPr>
      <w:r>
        <w:t>两个必须进入决策的合同发现</w:t>
      </w:r>
    </w:p>
    <w:p>
      <w:r>
        <w:rPr>
          <w:b w:val="0"/>
        </w:rPr>
        <w:t>ElevenLabs的自助API访问权限不等于转售权；其API条款要求相关转售方获得事先明确书面授权，对纯音乐生成公司还有联合品牌要求。音乐模型条款及主协议之间的优先关系也要由签署合同统一。[R04、R05]</w:t>
      </w:r>
    </w:p>
    <w:p>
      <w:r>
        <w:rPr>
          <w:b w:val="0"/>
        </w:rPr>
        <w:t>SOUNDRAW公开API Pro合同第3.8条对平台提供歌曲下载设置扩展许可，其中出现70%和50%分成；第3.12条还有转售限制。条款之间及具体场景的关系需要书面解释。不得假设一次API单价已覆盖这些费用。[R08]</w:t>
      </w:r>
    </w:p>
    <w:p>
      <w:r>
        <w:br w:type="page"/>
      </w:r>
    </w:p>
    <w:p>
      <w:pPr>
        <w:pStyle w:val="Heading1"/>
      </w:pPr>
      <w:r>
        <w:t>05 供应商采购条件与退出方案</w:t>
      </w:r>
    </w:p>
    <w:p>
      <w:r>
        <w:rPr>
          <w:b w:val="0"/>
        </w:rPr>
        <w:t>以下是拟谈判条件，不是已经取得的权利。法务应审阅签署版本及其明确的文件优先顺序，避免销售邮件、网页与主合同之间冲突。保留签署PDF、附件、适用模型版本和审批记录。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5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采购事项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必须得到的书面答案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平台经营资格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真实公司能否经营面向日本消费者的收费音乐生成与编辑产品；转售和纯音乐分类是否适用。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输出交付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能否将MP3或原生WAV交付终端用户、在S3存储并再次下载；是否另收下载费。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用户使用范围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自有SNS视频、视频收益化、全球可见发布；品牌广告、客户交付和游戏另列范围。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授权链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通过直接终端用户授权、转授权或合同传递哪种机制授予使用权；平台能否出具条件记录。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价格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调用、时长、成功或失败请求、下载、保底、OEM费、分成基数、汇率和税费分别说明。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存续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我方停止采购或用户取消订阅后，已合规生成下载作品的使用权能否继续；何种情况撤回。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责任与索赔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训练及许可来源陈述、输出权利保证、抗辩与赔付范围、上限、除外责任及诉讼通知。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处理国家、再委托方、训练使用、保留期限、删除、跨境机制、事件通知。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运行能力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模型版本固定、变更通知、并发和配额、幂等、任务查询、回调、安全过滤及SLA。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品牌与营销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是否需要联合品牌；模板示例、宣传素材和品牌词广告有什么限制。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退出与迁移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协议终止、调价、模型下线时的过渡期、剩余额度、历史授权和音源导出。</w:t>
            </w:r>
          </w:p>
        </w:tc>
      </w:tr>
    </w:tbl>
    <w:p>
      <w:pPr>
        <w:spacing w:after="0"/>
      </w:pPr>
    </w:p>
    <w:p>
      <w:r>
        <w:rPr>
          <w:b w:val="0"/>
        </w:rPr>
        <w:t>建议准入顺序：权利覆盖完整，然后检查价格与质量。目标是固定或可控的按量成本，且无不可承受的输出分成。谈不成时，暂停付费AI功能；可继续用完全自有或已采购授权的样音研究交互和需求。</w:t>
      </w:r>
    </w:p>
    <w:p>
      <w:r>
        <w:rPr>
          <w:b w:val="0"/>
        </w:rPr>
        <w:t>备选供应商只有在相同用途、地域、数据与终止后权利均获批准时才能切换。不能因为主供应商失败，就临时调用未经准入的便宜模型。</w:t>
      </w:r>
    </w:p>
    <w:p>
      <w:r>
        <w:br w:type="page"/>
      </w:r>
    </w:p>
    <w:p>
      <w:pPr>
        <w:pStyle w:val="Heading1"/>
      </w:pPr>
      <w:r>
        <w:t>06 用户许可与版权投诉处理</w:t>
      </w:r>
    </w:p>
    <w:p>
      <w:pPr>
        <w:pStyle w:val="Heading2"/>
      </w:pPr>
      <w:r>
        <w:t>首发拟提供的使用范围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6523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MVP处理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个人SNS视频及约定的收益化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目标允许；必须与上游签署许可一致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品牌付费广告或替客户制作视频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首发默认不含；完成专项授权后另开权益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歌曲单独再售或音乐素材库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不允许；没有用户间转卖、授权市场或收益分账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Spotify等音乐发行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首发不支持，也不承诺任何平台一定接受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Content ID或类似排他索赔登记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不允许；非独占音乐可能不符合参考素材资格[R20]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取消订阅后继续使用既有作品</w:t>
            </w:r>
          </w:p>
        </w:tc>
        <w:tc>
          <w:tcPr>
            <w:tcW w:type="dxa" w:w="65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目标保留已合法取得的既有使用权，须先写入供应商合同</w:t>
            </w:r>
          </w:p>
        </w:tc>
      </w:tr>
    </w:tbl>
    <w:p>
      <w:pPr>
        <w:spacing w:after="0"/>
      </w:pPr>
    </w:p>
    <w:p>
      <w:pPr>
        <w:pStyle w:val="Heading2"/>
      </w:pPr>
      <w:r>
        <w:t>逐曲使用条件记录</w:t>
      </w:r>
    </w:p>
    <w:p>
      <w:r>
        <w:rPr>
          <w:b w:val="0"/>
        </w:rPr>
        <w:t>记录包含曲目ID、生成时间、供应商与模型版本、订单及授权版本、适用用途、地域、禁止事项、音源SHA-256和后期处理版本。它是平台合同及来源记录，不是著作权登记、权利人证书、独家所有权或不侵权证明。私有链接仅向曲目所属账户开放。</w:t>
      </w:r>
    </w:p>
    <w:p>
      <w:pPr>
        <w:pStyle w:val="Heading2"/>
      </w:pPr>
      <w:r>
        <w:t>版权投诉工作流</w:t>
      </w:r>
    </w:p>
    <w:p>
      <w:r>
        <w:rPr>
          <w:b w:val="0"/>
        </w:rPr>
        <w:t>接收权利人联系方式、作品证明、争议音源及理由。客服一个工作日内确认收到；有可信依据时先暂停争议曲目的下载与新增传播，保留证据并通知用户和供应商。法务决定补充资料、恢复、替换、删除或退款。目标时限是服务设计，不取代适用法定期限。</w:t>
      </w:r>
    </w:p>
    <w:p>
      <w:r>
        <w:rPr>
          <w:b w:val="0"/>
        </w:rPr>
        <w:t>用户可补充原创证据并申诉，不能只依靠关键词自动永久封号。已下载到用户设备或外部平台的文件无法技术上收回，应提供通知与协助渠道。暂缓下载不等于已经认定侵权。</w:t>
      </w:r>
    </w:p>
    <w:p>
      <w:r>
        <w:rPr>
          <w:b w:val="0"/>
        </w:rPr>
        <w:t>不要直接照搬美国DMCA并假设获得日本免责。日本适用的责任、发信者信息处理及信息流通相关制度需由律师按产品功能确认；首发关闭公开UGC社区，减少传播与管理范围。</w:t>
      </w:r>
    </w:p>
    <w:p>
      <w:r>
        <w:br w:type="page"/>
      </w:r>
    </w:p>
    <w:p>
      <w:pPr>
        <w:pStyle w:val="Heading1"/>
      </w:pPr>
      <w:r>
        <w:t>07 消费者支付与隐私设计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8035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上线设计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经营主体与特商法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展示真实公司名称、负责人、地址、联系方式、含税价格、付款及提供时间、取消退款条件。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最终确认画面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扣款动作前清楚显示本次价格、续费金额与时间、次数与失效时间、解除方法、提供时点。[R13]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年龄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首发销售与生成限定18岁以上。自我申报加风险处理；不能把拥有信用卡当年龄证明。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信用卡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Stripe Hosted Checkout；使用EMV 3DS及适用反欺诈措施。不存储PAN和CVC。[R16]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预付次数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付费次数是否属于前払式支払手段按实际功能判断，名称和90天期限不能自行证明豁免。[R14]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跨境与个人信息</w:t>
            </w:r>
          </w:p>
        </w:tc>
        <w:tc>
          <w:tcPr>
            <w:tcW w:type="dxa" w:w="80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列明经营主体、TokenStars、音乐供应商和Stripe的数据流。确认APPI下委托、境外提供与相当措施等路径。[R15]</w:t>
            </w:r>
          </w:p>
        </w:tc>
      </w:tr>
    </w:tbl>
    <w:p>
      <w:pPr>
        <w:spacing w:after="0"/>
      </w:pPr>
    </w:p>
    <w:p>
      <w:pPr>
        <w:pStyle w:val="Heading2"/>
      </w:pPr>
      <w:r>
        <w:t>付款与退款规则</w:t>
      </w:r>
    </w:p>
    <w:p>
      <w:r>
        <w:rPr>
          <w:b w:val="0"/>
        </w:rPr>
        <w:t>先按单收费验证；次数包获法律确认后才开启。未消费且在购买后7天内的自愿退款、技术故障退回次数、错误扣费原路退款和争议作品补救是拟议客服政策，必须与资金结算法、消费者法及合同协调后发布。不能写成“数字商品一律不退”来排除法定权利。</w:t>
      </w:r>
    </w:p>
    <w:p>
      <w:r>
        <w:rPr>
          <w:b w:val="0"/>
        </w:rPr>
        <w:t>月订阅到期前可在线停止续费，不设置电话取消门槛；月内不按比例退款是待审合同政策。支付失败不发放新周期次数，通知后可重试或更换卡。消费者退款、次数返还与Stripe拒付分别入账。</w:t>
      </w:r>
    </w:p>
    <w:p>
      <w:pPr>
        <w:pStyle w:val="Heading2"/>
      </w:pPr>
      <w:r>
        <w:t>数据最少化</w:t>
      </w:r>
    </w:p>
    <w:p>
      <w:r>
        <w:rPr>
          <w:b w:val="0"/>
        </w:rPr>
        <w:t>GPT仅接收必要的场景描述与结构化参数，不传邮箱、付款信息和身份材料。首发不收人声、参考音乐或视频上传。东京S3/RDS存储并不代表上游模型也在日本处理，不宣传“所有数据不出日本”。供应商切换必须符合已披露的数据范围。</w:t>
      </w:r>
    </w:p>
    <w:p>
      <w:r>
        <w:rPr>
          <w:b w:val="0"/>
        </w:rPr>
        <w:t>账户删除、营销退订与停止订阅分别提供清楚入口。法定或争议保留记录单独隔离；不以保留订单为由继续保存全部用户内容。</w:t>
      </w:r>
    </w:p>
    <w:p>
      <w:r>
        <w:br w:type="page"/>
      </w:r>
    </w:p>
    <w:p>
      <w:pPr>
        <w:pStyle w:val="Heading1"/>
      </w:pPr>
      <w:r>
        <w:t>08 目标用户与首发产品需求</w:t>
      </w:r>
    </w:p>
    <w:p>
      <w:r>
        <w:rPr>
          <w:b w:val="0"/>
        </w:rPr>
        <w:t>目标招募标准：在日本居住、18岁以上，过去30天至少发布4条原创短视频，能展示一次实际配乐流程。年龄18至29岁是招募重点；“年轻”和“时尚”不替代可观察的使用任务。</w:t>
      </w:r>
    </w:p>
    <w:p>
      <w:pPr>
        <w:pStyle w:val="Heading2"/>
      </w:pPr>
      <w:r>
        <w:t>核心任务</w:t>
      </w:r>
    </w:p>
    <w:p>
      <w:r>
        <w:rPr>
          <w:b w:val="0"/>
        </w:rPr>
        <w:t>用户准备发布一段夜景或生活短片，希望用几分钟找到与自己表达相符的配乐，并确认可以怎样发布。主流程为选场景、输入心情、生成一份30秒音源、试听、必要时另生一份、裁剪成15或30秒、下载及查看使用条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5"/>
        <w:gridCol w:w="2923"/>
        <w:gridCol w:w="6149"/>
      </w:tblGrid>
      <w:tr>
        <w:trPr>
          <w:cantSplit/>
          <w:tblHeader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验收结果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日文场景模板与纯音乐生成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首次操作不需理解音乐理论；1次生成只交付1份30秒音源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试听及版本比较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手机可播放、暂停和拖动；任意时刻只有一份音源播放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裁剪及淡出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15秒和30秒导出，免费重新裁剪；不把裁剪称为重新作曲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权益与支付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次数使用前可见；真实支付成功后授予；失败无重复消耗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P0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私有作品与使用条件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账户隔离、历史记录、删除及投诉入口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60秒生成及节奏转折控制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先验证上游支持、作品质量和时长计费，再增加选项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P1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视频中合成配乐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在用户隐私与视频权益审查后验证，不默认启用上传</w:t>
            </w:r>
          </w:p>
        </w:tc>
      </w:tr>
      <w:tr>
        <w:trPr>
          <w:cantSplit/>
        </w:trPr>
        <w:tc>
          <w:tcPr>
            <w:tcW w:type="dxa" w:w="8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P2</w:t>
            </w:r>
          </w:p>
        </w:tc>
        <w:tc>
          <w:tcPr>
            <w:tcW w:type="dxa" w:w="292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歌词 主唱 音轨与发行</w:t>
            </w:r>
          </w:p>
        </w:tc>
        <w:tc>
          <w:tcPr>
            <w:tcW w:type="dxa" w:w="614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单独商业实验和授权包；不得直接沿用BGM许可</w:t>
            </w:r>
          </w:p>
        </w:tc>
      </w:tr>
    </w:tbl>
    <w:p>
      <w:pPr>
        <w:spacing w:after="0"/>
      </w:pPr>
    </w:p>
    <w:p>
      <w:r>
        <w:rPr>
          <w:b w:val="0"/>
        </w:rPr>
        <w:t>首发不做公开排行榜、关注关系、他人作品Remix、声音克隆和曲目交易。它们需要额外增长、权利和运营机制，不能仅为看起来像音乐社区而加入。</w:t>
      </w:r>
    </w:p>
    <w:p>
      <w:r>
        <w:rPr>
          <w:b w:val="0"/>
        </w:rPr>
        <w:t>本稿UI展示的是设计样例，所有曲目、订单日期、余额和案例编号均为演示数据；尚未接通音乐生成或支付。</w:t>
      </w:r>
    </w:p>
    <w:p>
      <w:r>
        <w:br w:type="page"/>
      </w:r>
    </w:p>
    <w:p>
      <w:pPr>
        <w:pStyle w:val="Heading1"/>
      </w:pPr>
      <w:r>
        <w:t>09 分阶段验证与停止条件</w:t>
      </w:r>
    </w:p>
    <w:p>
      <w:r>
        <w:rPr>
          <w:b w:val="0"/>
        </w:rPr>
        <w:t>十二周从项目负责人和验证预算确定后开始计算。供应商签约没有完成时，收费实验顺延；需求访谈和完全自有样音的交互测试可以继续。以下门槛是预先设定的管理规则，并非行业统计值。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4435"/>
        <w:gridCol w:w="3989"/>
      </w:tblGrid>
      <w:tr>
        <w:trPr>
          <w:cantSplit/>
          <w:tblHeader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行动与样本</w:t>
            </w:r>
          </w:p>
        </w:tc>
        <w:tc>
          <w:tcPr>
            <w:tcW w:type="dxa" w:w="3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升级或停止条件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第1至2周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访谈20位符合招募标准的创作者；观察其选曲操作；完成供应商法务询价</w:t>
            </w:r>
          </w:p>
        </w:tc>
        <w:tc>
          <w:tcPr>
            <w:tcW w:type="dxa" w:w="3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至少8人能指出近期痛点，至少5人愿把真实项目交给我们测试。仅“好玩”不算。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第3至4周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取得许可后，人工辅助完成20个配乐任务；至少10位非同事非亲友真实付费</w:t>
            </w:r>
          </w:p>
        </w:tc>
        <w:tc>
          <w:tcPr>
            <w:tcW w:type="dxa" w:w="3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至少6位将结果用于真实视频，4位在30天内带来第二个任务；否则重做场景和价值主张。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第5至8周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小规模Web单次收费版；累计300名合格激活用户，目标50名实际付费用户</w:t>
            </w:r>
          </w:p>
        </w:tc>
        <w:tc>
          <w:tcPr>
            <w:tcW w:type="dxa" w:w="3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技术成功率≥95%，激活后14日付费率目标≥10%，投诉与退款原因可解释；样本不足则延长。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第9至12周</w:t>
            </w:r>
          </w:p>
        </w:tc>
        <w:tc>
          <w:tcPr>
            <w:tcW w:type="dxa" w:w="44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向已有重复需求的用户开放月订阅；至少50个达到续费观察日的首月订阅</w:t>
            </w:r>
          </w:p>
        </w:tc>
        <w:tc>
          <w:tcPr>
            <w:tcW w:type="dxa" w:w="3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首个续费周期实收续费率目标≥50%；平均贡献≥50%，用满贡献≥30%，CAC回本目标≤3个月。</w:t>
            </w:r>
          </w:p>
        </w:tc>
      </w:tr>
    </w:tbl>
    <w:p>
      <w:pPr>
        <w:spacing w:after="0"/>
      </w:pPr>
    </w:p>
    <w:p>
      <w:pPr>
        <w:pStyle w:val="Heading2"/>
      </w:pPr>
      <w:r>
        <w:t>需要停止或改方向的情形</w:t>
      </w:r>
    </w:p>
    <w:p>
      <w:r>
        <w:rPr>
          <w:b w:val="0"/>
        </w:rPr>
        <w:t>企业授权无法取得、下载分成导致可接受售价下长期负贡献，或供应商不能支持既有用户权利的存续：停止当前供应链方案。已触达目标人群但付费与复购连续两轮不达标：缩小或更换场景，不继续靠增加功能解释。</w:t>
      </w:r>
    </w:p>
    <w:p>
      <w:r>
        <w:rPr>
          <w:b w:val="0"/>
        </w:rPr>
        <w:t>注册少先检查触达；试听多而导出少先检查内容；导出多而付费少检查价值与价格；付费后不再回来检查任务频率与替代方案。每轮只改一个关键变量，保留原始数据与未通过结果。</w:t>
      </w:r>
    </w:p>
    <w:p>
      <w:r>
        <w:rPr>
          <w:b w:val="0"/>
        </w:rPr>
        <w:t>50名续费样本仍较小，不能据此承诺大规模商业成功；报告分子、分母、观察窗口与用户来源。第9周开启月订阅，第12周通常尚无完整续费数据；应延长至足够用户经历一个账期及7天观察窗口，未成熟样本不算失败或成功。延期仍受原预算约束。</w:t>
      </w:r>
    </w:p>
    <w:p>
      <w:r>
        <w:br w:type="page"/>
      </w:r>
    </w:p>
    <w:p>
      <w:pPr>
        <w:pStyle w:val="Heading1"/>
      </w:pPr>
      <w:r>
        <w:t>10 获客方法与指标定义</w:t>
      </w:r>
    </w:p>
    <w:p>
      <w:pPr>
        <w:pStyle w:val="Heading2"/>
      </w:pPr>
      <w:r>
        <w:t>先找到真实配乐任务</w:t>
      </w:r>
    </w:p>
    <w:p>
      <w:r>
        <w:rPr>
          <w:b w:val="0"/>
        </w:rPr>
        <w:t>第一渠道是小型生活与夜景短视频创作者，第二渠道为穿搭创作者对照。通过公开报名和少量明确标注的合作内容招募。游戏剪辑作为第三场景，需先确认游戏画面与发布规则。不给粉丝量设硬门槛，优先选择有持续制作行为的人。</w:t>
      </w:r>
    </w:p>
    <w:p>
      <w:r>
        <w:rPr>
          <w:b w:val="0"/>
        </w:rPr>
        <w:t>宣传素材展示同一段已获授权视频配三种原创气氛的前后差异，避免用知名歌手、热门歌词或现成金曲吸引流量。报酬、赠送和合作关系清楚标明。现有B2B销售关系不能直接充当ToC获客渠道假设。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9"/>
        <w:gridCol w:w="7848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统一定义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合格访问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来自目标场景页面的独立访客，剔除内部测试和明显机器人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激活率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新注册用户中24小时内完成生成、试听至少10秒并导出的人数占比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14日付费转化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已满14日观察窗口的激活用户中，发生首笔真实成功付款的比例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第7日再次使用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首日激活用户在第7至13天再次成功生成的比例，只用成熟队列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首次续费率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到达下一账单日并完成宽限观察期的首月订阅中，实收第二期款项的比例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有效使用周用户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本周至少一次将音源用于其内容的用户；自报与已核实URL分别展示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每个采用结果成本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全部供应商、文本、处理和重试成本除以实际采用结果数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获客成本与贡献</w:t>
            </w:r>
          </w:p>
        </w:tc>
        <w:tc>
          <w:tcPr>
            <w:tcW w:type="dxa" w:w="78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新增付费用户获取成本；贡献扣除退款、支付、生成、分成与增量客服</w:t>
            </w:r>
          </w:p>
        </w:tc>
      </w:tr>
    </w:tbl>
    <w:p>
      <w:pPr>
        <w:spacing w:after="0"/>
      </w:pPr>
    </w:p>
    <w:p>
      <w:pPr>
        <w:pStyle w:val="Heading2"/>
      </w:pPr>
      <w:r>
        <w:t>每周评审</w:t>
      </w:r>
    </w:p>
    <w:p>
      <w:r>
        <w:rPr>
          <w:b w:val="0"/>
        </w:rPr>
        <w:t>产品负责人带来5段用户操作记录、漏斗、成熟队列复购以及供应商成本明细。工程负责人说明失败、重复计费和任务积压。下一周只确定一个需要验证的改变及其预算上限。不要用总生成首数替代用户价值。</w:t>
      </w:r>
    </w:p>
    <w:p>
      <w:r>
        <w:rPr>
          <w:b w:val="0"/>
        </w:rPr>
        <w:t>TokenStars与音乐产品分别出账，同时保留集团外部成本口径；内部采购价格中的利润不能在合并经营结果里被重复计算。</w:t>
      </w:r>
    </w:p>
    <w:p>
      <w:r>
        <w:br w:type="page"/>
      </w:r>
    </w:p>
    <w:p>
      <w:pPr>
        <w:pStyle w:val="Heading1"/>
      </w:pPr>
      <w:r>
        <w:t>11 定价与套餐规则</w:t>
      </w:r>
    </w:p>
    <w:p>
      <w:r>
        <w:rPr>
          <w:b w:val="0"/>
        </w:rPr>
        <w:t>商业模式决定：先按需，后增加有限额度月订阅。一次性需求更适合单次包，持续发布者可选择订阅。两者使用同一套音乐许可，不用模糊的“Pro版权”制造差异。先不推出年费、无限生成或自动充值。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71"/>
        <w:gridCol w:w="2448"/>
        <w:gridCol w:w="5688"/>
      </w:tblGrid>
      <w:tr>
        <w:trPr>
          <w:cantSplit/>
          <w:tblHeader/>
        </w:trPr>
        <w:tc>
          <w:tcPr>
            <w:tcW w:type="dxa" w:w="17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产品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建议测试价格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交付与权益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人工验证单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每个任务980日元起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先约定具体交付与修改次数，逐单确认；用于检验结果价值，不能代表软件获客成本。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DROP单次包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980日元 含税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5次30秒音源生成；90天内使用；无自动续费。仅在次数结构获法律确认后销售。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CREATOR月订阅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1,980日元 含税 每月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20次30秒音源生成；以Stripe订阅周期为准；未用次数不结转；在线停止续费。</w:t>
            </w:r>
          </w:p>
        </w:tc>
      </w:tr>
      <w:tr>
        <w:trPr>
          <w:cantSplit/>
        </w:trPr>
        <w:tc>
          <w:tcPr>
            <w:tcW w:type="dxa" w:w="17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免费体验</w:t>
            </w:r>
          </w:p>
        </w:tc>
        <w:tc>
          <w:tcPr>
            <w:tcW w:type="dxa" w:w="24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无需卡片试听样音</w:t>
            </w:r>
          </w:p>
        </w:tc>
        <w:tc>
          <w:tcPr>
            <w:tcW w:type="dxa" w:w="568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默认仅试听已授权样音。取得授权且成本可控后，按账户发放至多2次受限试用。</w:t>
            </w:r>
          </w:p>
        </w:tc>
      </w:tr>
    </w:tbl>
    <w:p>
      <w:pPr>
        <w:spacing w:after="0"/>
      </w:pPr>
    </w:p>
    <w:p>
      <w:pPr>
        <w:pStyle w:val="Heading2"/>
      </w:pPr>
      <w:r>
        <w:t>次数规则</w:t>
      </w:r>
    </w:p>
    <w:p>
      <w:r>
        <w:rPr>
          <w:b w:val="0"/>
        </w:rPr>
        <w:t>一次计量是1份技术上成功交付的30秒音源，不是1次下载，也不保证用户一定喜欢。首次请求只生成1份；另一个版本会再占1次。技术失败、供应商拒绝和我方输出审核不通过，释放或返还次数。用户主动重生成需明确确认。</w:t>
      </w:r>
    </w:p>
    <w:p>
      <w:r>
        <w:rPr>
          <w:b w:val="0"/>
        </w:rPr>
        <w:t>试听、下载已有文件和本地裁剪不扣生成次数；对导出速率设合理防滥用上限。任务开始前显示预计消耗。网络重试和重复点击不能重复扣费。未来60秒输出采用独立产品计量规则，不能假定上游成本恰好翻倍。</w:t>
      </w:r>
    </w:p>
    <w:p>
      <w:pPr>
        <w:pStyle w:val="Heading2"/>
      </w:pPr>
      <w:r>
        <w:t>取消与授权存续</w:t>
      </w:r>
    </w:p>
    <w:p>
      <w:r>
        <w:rPr>
          <w:b w:val="0"/>
        </w:rPr>
        <w:t>月内停止续费，权益保留到当前服务期结束；UI显示确切的JST日期时间。既有合法生成和下载作品的使用权按生成时合同继续，前提是已向供应商取得相应存续条款。不能用停订即侵权的含糊宣传迫使续费。</w:t>
      </w:r>
    </w:p>
    <w:p>
      <w:r>
        <w:rPr>
          <w:b w:val="0"/>
        </w:rPr>
        <w:t>以上价格是付费实验起点。上线前用签约单价、下载费、收入分成、保底和全量使用情况重新计算；不满足门槛就调整额度、售价或供应商。</w:t>
      </w:r>
    </w:p>
    <w:p>
      <w:r>
        <w:br w:type="page"/>
      </w:r>
    </w:p>
    <w:p>
      <w:pPr>
        <w:pStyle w:val="Heading1"/>
      </w:pPr>
      <w:r>
        <w:t>12 单位经济与资金需求</w:t>
      </w:r>
    </w:p>
    <w:p>
      <w:r>
        <w:rPr>
          <w:b w:val="0"/>
        </w:rPr>
        <w:t>配套Excel提供可编辑参数和公式，所有非公开费率均明确为设计假设。基准用每次音乐请求45日元、技术成功率90%、失败也收费、GPT每请求0.5日元、每份交付处理成本2日元。45日元参照每首0.3美元，以预算汇率150日元/美元换算，不是当前汇率或企业授权报价。音乐生成成功和用户审美满意分开计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2347"/>
        <w:gridCol w:w="4608"/>
      </w:tblGrid>
      <w:tr>
        <w:trPr>
          <w:cantSplit/>
          <w:tblHeader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基准结果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每份成功音源增量成本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约52.56日元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含有偿失败、GPT、处理与传输；未摊固定费用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平均使用12次的订阅贡献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约998日元  56.6%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扣2%预计退款、3.6%支付费、0.7%Billing和50日元增量客服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20次全部用完的订阅贡献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约578日元  32.8%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验证不依赖大量未使用次数也可贡献为正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1,000名订阅的月度经营结果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约亏15.3万日元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含人员90万、AWS8万、其他5万、获客10万及200人试用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稳定月保本用户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约1,154名订阅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包含月度最低承诺；没有额外计入单次包收入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分成改为70%的示例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平均每订阅约亏177日元</w:t>
            </w:r>
          </w:p>
        </w:tc>
        <w:tc>
          <w:tcPr>
            <w:tcW w:type="dxa" w:w="460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按全收入扣税和支付费后分成；实际合同分摊可能不同</w:t>
            </w:r>
          </w:p>
        </w:tc>
      </w:tr>
    </w:tbl>
    <w:p>
      <w:pPr>
        <w:spacing w:after="0"/>
      </w:pPr>
    </w:p>
    <w:p>
      <w:r>
        <w:rPr>
          <w:b w:val="0"/>
        </w:rPr>
        <w:t>Stripe日本公开标准卡费率为3.6%，Billing按量为0.7%。模型保守按原收款额计手续费；消费税、优惠及拒付等以实际商户配置和税务处理为准。[R12]</w:t>
      </w:r>
    </w:p>
    <w:p>
      <w:pPr>
        <w:pStyle w:val="Heading2"/>
      </w:pPr>
      <w:r>
        <w:t>预付款与保底不重复计算</w:t>
      </w:r>
    </w:p>
    <w:p>
      <w:r>
        <w:rPr>
          <w:b w:val="0"/>
        </w:rPr>
        <w:t>模型按“调用费与可抵扣最低承诺取较大值”计算，再加不可抵扣OEM费和输出分成。当前保底4.5万日元和OEM费0都是预算占位，不能理解为已经获得报价。未履约次数的收入确认与现金收入分开。</w:t>
      </w:r>
    </w:p>
    <w:p>
      <w:pPr>
        <w:pStyle w:val="Heading2"/>
      </w:pPr>
      <w:r>
        <w:t>分段投入预算</w:t>
      </w:r>
    </w:p>
    <w:p>
      <w:r>
        <w:rPr>
          <w:b w:val="0"/>
        </w:rPr>
        <w:t>建议第1阶段新增现金上限30万日元，用于访谈、样音、合同咨询和原型；第2阶段新增上限80万，完成授权谈判与有限收费试点；后续工程运营新增上限180万，达标才释放。合计290万是拟议预算，不是采购报价，另计现有团队分摊和机会成本。</w:t>
      </w:r>
    </w:p>
    <w:p>
      <w:r>
        <w:rPr>
          <w:b w:val="0"/>
        </w:rPr>
        <w:t>稳定运营示例成本不是首年预测。除实验预算外，留出至少两个月非广告固定支出、未交付订单履约成本及可能退款的周转资金；不要把Stripe余额或TokenStars账期当作可自由使用的利润。</w:t>
      </w:r>
    </w:p>
    <w:p>
      <w:r>
        <w:br w:type="page"/>
      </w:r>
    </w:p>
    <w:p>
      <w:pPr>
        <w:pStyle w:val="Heading1"/>
      </w:pPr>
      <w:r>
        <w:t>13 UI 信息架构与视觉系统</w:t>
      </w:r>
    </w:p>
    <w:p>
      <w:r>
        <w:rPr>
          <w:b w:val="0"/>
        </w:rPr>
        <w:t>视觉方向为夜间创作工作室：石墨黑背景、酸橙色主操作、淡紫色音频辅助元素，配合原创线条图形和清楚的日文。酷感来自作品、节奏和操作反馈，主流程避免专业DAW式控制面板。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150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设计项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颜色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背景 #101115；面板 #1A1C22；正文 #F5F6F8；次级 #A9AFBE；主色 #D4FF62；辅助 #B6A0FF。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文字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产品界面使用有合适许可证的Noto Sans JP或系统日文字体。正文16至18px，标题24至48px；数据用等宽数字。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尺寸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8px间距基准，卡片圆角16px，按钮高度至少44px。桌面1100至1440px；移动以390px为首要测试宽度。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响应式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≥1024px保留左导航；768至1023px折叠侧栏；≤767px单列，关键操作置于安全区上方。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可访问性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正文对比度目标4.5比1；键盘、可见焦点、读屏标签、状态文本、触控目标和减少动画偏好均列入验收。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声音与动效</w:t>
            </w:r>
          </w:p>
        </w:tc>
        <w:tc>
          <w:tcPr>
            <w:tcW w:type="dxa" w:w="815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不自动播放声音。生成中显示阶段与时间范围，不伪造精确进度；不超过必要的轻量动画。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592"/>
        <w:gridCol w:w="4680"/>
      </w:tblGrid>
      <w:tr>
        <w:trPr>
          <w:cantSplit/>
          <w:tblHeader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路由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主要动作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场景与样音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试听并开始创建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/auth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登录与年龄确认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邮件登录与必要同意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/create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创建工作室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编辑需求并确认使用次数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/projects/:id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结果与版本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试听、比较、选择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/tracks/:id/export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裁剪与下载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确认用途及导出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/library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私有作品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搜索、再次下载、删除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/pricing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价格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选择单次或订阅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/checkout/confirm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购买确认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确认合同后进入Stripe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/settings/billing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账单与订阅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查看凭证、停订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/help/rights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权利投诉与申诉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提交争议</w:t>
            </w:r>
          </w:p>
        </w:tc>
      </w:tr>
      <w:tr>
        <w:trPr>
          <w:cantSplit/>
        </w:trPr>
        <w:tc>
          <w:tcPr>
            <w:tcW w:type="dxa" w:w="263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/admin/rights</w:t>
            </w:r>
          </w:p>
        </w:tc>
        <w:tc>
          <w:tcPr>
            <w:tcW w:type="dxa" w:w="259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后台权利工单</w:t>
            </w:r>
          </w:p>
        </w:tc>
        <w:tc>
          <w:tcPr>
            <w:tcW w:type="dxa" w:w="46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证据复核与审计记录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14 UI 首页与场景入口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4036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403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01 桌面首页设计。样音、标题和图形为示意；实际音频必须先取得演示授权。</w:t>
      </w:r>
    </w:p>
    <w:p>
      <w:pPr>
        <w:pStyle w:val="Heading2"/>
      </w:pPr>
      <w:r>
        <w:t>交互规格</w:t>
      </w:r>
    </w:p>
    <w:p>
      <w:r>
        <w:rPr>
          <w:b w:val="0"/>
        </w:rPr>
        <w:t>未登录用户可以试听样音并选择场景，进入创建时再注册。首页只出现一个主要行动“サウンドをつくる”。场景选择继承到创建页，不要求用户重复填写。已登录用户显示真实余额；访客导航应替换成登录入口。</w:t>
      </w:r>
    </w:p>
    <w:p>
      <w:r>
        <w:rPr>
          <w:b w:val="0"/>
        </w:rPr>
        <w:t>示例中三个场景卡片不是热门艺人的替代名称。点击播放时先停止其他音轨；离开页面停止播放。手机端顺序为价值表达、CTA、场景卡片，线条图形缩小到不遮挡按钮。</w:t>
      </w:r>
    </w:p>
    <w:p>
      <w:r>
        <w:rPr>
          <w:b w:val="0"/>
        </w:rPr>
        <w:t>首页下方固定提供价格、利用規約、プライバシー、特定商取引法に基づく表記和联系客服入口；公开营销页不能省略经营主体信息。</w:t>
      </w:r>
    </w:p>
    <w:p>
      <w:r>
        <w:br w:type="page"/>
      </w:r>
    </w:p>
    <w:p>
      <w:pPr>
        <w:pStyle w:val="Heading1"/>
      </w:pPr>
      <w:r>
        <w:t>15 UI 创建与生成状态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4321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4321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02 创建工作室。自然语言、场景和能量选择为主要输入。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8251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界面与规则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就绪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按钮显示本次使用1回与剩余次数。文本上限300个Unicode字符；空输入使用所选场景。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输入不支持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提示以情绪、乐器、节奏重写。阻断内容不发送音乐供应商，不消耗次数。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排队或生成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替换按钮为阶段提示，显示预估区间；允许离开，回到作品页恢复状态。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次数不足或过载</w:t>
            </w:r>
          </w:p>
        </w:tc>
        <w:tc>
          <w:tcPr>
            <w:tcW w:type="dxa" w:w="825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次数不足引导价格页并保留草稿；上游过载说明等待，不自动尝试收费重生。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16 UI 结果比较与重新生成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40369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4036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03 版本比较。图中两份结果代表用户进行了两次生成，不暗示一次收费获得两份。</w:t>
      </w:r>
    </w:p>
    <w:p>
      <w:r>
        <w:rPr>
          <w:b w:val="0"/>
        </w:rPr>
        <w:t>结果卡显示标题、实际时长、生成状态和试听控制。只有选定版本进入裁剪页。短语建议只修改情绪或节奏；每次提交重新生成前展示会消耗1次，不自动连续生成多个版本。</w:t>
      </w:r>
    </w:p>
    <w:p>
      <w:r>
        <w:rPr>
          <w:b w:val="0"/>
        </w:rPr>
        <w:t>手机卡片垂直排列、播放器固定在当前卡；声波图提供可读时间和拖动替代控件。标题自动生成后可由用户重命名，名称修改不触发音乐模型。</w:t>
      </w:r>
    </w:p>
    <w:p>
      <w:r>
        <w:rPr>
          <w:b w:val="0"/>
        </w:rPr>
        <w:t>“不喜欢”作为反馈记录，不等于技术失败；首轮客服可人工补偿，但必须记录为补偿次数，不能篡改原始消费流水。任何推荐排序基于当前项目体验，不展示未经真实验证的“热门”或“大家都在用”。</w:t>
      </w:r>
    </w:p>
    <w:p>
      <w:r>
        <w:br w:type="page"/>
      </w:r>
    </w:p>
    <w:p>
      <w:pPr>
        <w:pStyle w:val="Heading1"/>
      </w:pPr>
      <w:r>
        <w:t>17 UI 裁剪导出与使用条件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41507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po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415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04 导出页。许可文案仅在供应商对应授权生效后可启用。</w:t>
      </w:r>
    </w:p>
    <w:p>
      <w:r>
        <w:rPr>
          <w:b w:val="0"/>
        </w:rPr>
        <w:t>初版生成30秒，导出支持15秒或完整30秒、可选1秒淡出。原始音源保留，编辑只产生版本。MP3到WAV的转换不能被宣传为更高音质；仅当供应商提供原生高质量格式且套餐支持时展示该选项。</w:t>
      </w:r>
    </w:p>
    <w:p>
      <w:r>
        <w:rPr>
          <w:b w:val="0"/>
        </w:rPr>
        <w:t>“下载”同时检查曲目所有者、交付状态和逐曲许可，成功后提供短时有效链接及使用条件记录。禁止的用途在购买前即可查看，不能到付款后才披露。</w:t>
      </w:r>
    </w:p>
    <w:p>
      <w:r>
        <w:rPr>
          <w:b w:val="0"/>
        </w:rPr>
        <w:t>不将“授权记录”命名为“版权证书”。遇到投诉暂停时，不签发新的下载链接；短时链接失效和CDN缓存处理存在延迟，不能宣称已撤回外部文件。</w:t>
      </w:r>
    </w:p>
    <w:p>
      <w:r>
        <w:br w:type="page"/>
      </w:r>
    </w:p>
    <w:p>
      <w:pPr>
        <w:pStyle w:val="Heading1"/>
      </w:pPr>
      <w:r>
        <w:t>18 UI 私有作品与帮助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38664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libra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86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05 私有作品页。默认不公开用户音乐，状态明确区分可下载和待确认。</w:t>
      </w:r>
    </w:p>
    <w:p>
      <w:r>
        <w:rPr>
          <w:b w:val="0"/>
        </w:rPr>
        <w:t>筛选包括全部、处理中、可下载和待确认；首发不需要复杂文件夹。行内动作包括试听、进入项目、使用条件和删除。空状态引导创建，网络失败显示重试并保留本地页面状态。</w:t>
      </w:r>
    </w:p>
    <w:p>
      <w:r>
        <w:rPr>
          <w:b w:val="0"/>
        </w:rPr>
        <w:t>删除操作说明对云端音源、再下载和历史订单的影响，并提供一次明确确认。争议保全中的音源只能提出删除请求，后台依法律与证据保留义务处理，不能直接清掉争议材料。</w:t>
      </w:r>
    </w:p>
    <w:p>
      <w:r>
        <w:rPr>
          <w:b w:val="0"/>
        </w:rPr>
        <w:t>帮助页分为生成与下载、次数与退款、使用条件、权利投诉。公共投诉入口不强制投诉人先付费；账户工单需验证身份以防泄露他人作品。</w:t>
      </w:r>
    </w:p>
    <w:p>
      <w:r>
        <w:br w:type="page"/>
      </w:r>
    </w:p>
    <w:p>
      <w:pPr>
        <w:pStyle w:val="Heading1"/>
      </w:pPr>
      <w:r>
        <w:t>19 UI 价格展示与合同确认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39801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ric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980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06 价格页。月订阅在复购实验达到门槛后才对外开放；价格和额度均为测试建议。</w:t>
      </w:r>
    </w:p>
    <w:p>
      <w:r>
        <w:rPr>
          <w:b w:val="0"/>
        </w:rPr>
        <w:t>单次包与月订阅使用相近的视觉权重，显示是否续费、失效规则和含税价。取消年费默认选中、倒计时折扣、预勾续费等设计。若免费体验尚未开启，页面只承诺样音试听。</w:t>
      </w:r>
    </w:p>
    <w:p>
      <w:r>
        <w:rPr>
          <w:b w:val="0"/>
        </w:rPr>
        <w:t>价格页、最终确认页和Stripe实际价格ID三处保持一致。测试价格要版本化，既有订单保留原规则；不能通过前端传来的金额创建订单。供应商分成变化先触发经营评审，再决定未来套餐，不能静默改变已购买权益。</w:t>
      </w:r>
    </w:p>
    <w:p>
      <w:r>
        <w:rPr>
          <w:b w:val="0"/>
        </w:rPr>
        <w:t>金额较小也不按Token收费展示。消费者只需理解“生成多少次”“一份多长”“哪些用途可用”“何时续费”；模型采购与TokenStars的技术细节放在隐私和支持资料。</w:t>
      </w:r>
    </w:p>
    <w:p>
      <w:r>
        <w:br w:type="page"/>
      </w:r>
    </w:p>
    <w:p>
      <w:pPr>
        <w:pStyle w:val="Heading1"/>
      </w:pPr>
      <w:r>
        <w:t>20 UI 移动支付与取消订阅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67712" cy="500059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hecko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50005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2267712" cy="500059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ll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500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07 购买确认   UI 08 订阅管理与停订成功状态。真实页面显示精确JST时刻，图中日期仅为示意。</w:t>
      </w:r>
    </w:p>
    <w:p>
      <w:r>
        <w:rPr>
          <w:b w:val="0"/>
        </w:rPr>
        <w:t>左侧是产品合同确认设计，右侧是订阅管理。信用卡填写和3DS交给Stripe托管页面。必须在实际产生付款义务的最后一步完整呈现关键条件；若托管界面不能承载所需信息，应调整结账集成再上线。</w:t>
      </w:r>
    </w:p>
    <w:p>
      <w:r>
        <w:rPr>
          <w:b w:val="0"/>
        </w:rPr>
        <w:t>停订先明确当前服务期结束时点，完成后显示不再扣下一期费用。页面只能在服务器确认停订成功后展示成功状态；调用失败时保留当前订阅状态，并提供重试与客服。</w:t>
      </w:r>
    </w:p>
    <w:p>
      <w:r>
        <w:br w:type="page"/>
      </w:r>
    </w:p>
    <w:p>
      <w:pPr>
        <w:pStyle w:val="Heading1"/>
      </w:pPr>
      <w:r>
        <w:t>21 UI 注册与异常反馈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267712" cy="500059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50005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 </w:t>
      </w:r>
      <w:r>
        <w:drawing>
          <wp:inline xmlns:a="http://schemas.openxmlformats.org/drawingml/2006/main" xmlns:pic="http://schemas.openxmlformats.org/drawingml/2006/picture">
            <wp:extent cx="2267712" cy="500059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rro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7712" cy="5000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10 登录与必要同意   UI 09 输入限制和生成失败。各异常状态独立触发，不在真实页面同时叠加。</w:t>
      </w:r>
    </w:p>
    <w:p>
      <w:r>
        <w:rPr>
          <w:b w:val="0"/>
        </w:rPr>
        <w:t>登录通过Cognito的邮件验证码实现。验证码页使用单一输入框、自动填入支持、60秒后重新发送、错误与过期提示；长度按实际认证挑战校验，限制重发和尝试次数。营销邮件另设未勾选选项，不与账户使用绑在一起。未满18岁不能进入生成或购买流程。</w:t>
      </w:r>
    </w:p>
    <w:p>
      <w:r>
        <w:rPr>
          <w:b w:val="0"/>
        </w:rPr>
        <w:t>重复付款、处理中未知状态、审核拒绝和供应商失败需要不同文案。“已退还次数”只在消费账本确实完成补偿后出现；若供应商状态未知则显示核实中，不能让用户误以为又要付钱。</w:t>
      </w:r>
    </w:p>
    <w:p>
      <w:r>
        <w:br w:type="page"/>
      </w:r>
    </w:p>
    <w:p>
      <w:pPr>
        <w:pStyle w:val="Heading1"/>
      </w:pPr>
      <w:r>
        <w:t>22 UI 运营后台与组件交付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254496" cy="39232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opera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54496" cy="392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UI 11 权利工单后台。客服只能查看授权范围内的资料，恢复与删除需要相应权限。</w:t>
      </w:r>
    </w:p>
    <w:p>
      <w:r>
        <w:rPr>
          <w:b w:val="0"/>
        </w:rPr>
        <w:t>后台另有订单查询、退款、补偿次数、供应商成本、任务队列与功能开关。每次变化记录操作者、时间、理由、原状态和新状态；普通客服不能查看全部原始提示词、密钥或支付敏感数据。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75"/>
        <w:gridCol w:w="7632"/>
      </w:tblGrid>
      <w:tr>
        <w:trPr>
          <w:cantSplit/>
          <w:tblHeader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76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统一状态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主要按钮与弹窗</w:t>
            </w:r>
          </w:p>
        </w:tc>
        <w:tc>
          <w:tcPr>
            <w:tcW w:type="dxa" w:w="76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默认、悬停、焦点、禁用、提交中、成功和错误；确认动作不可隐藏费用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播放器与任务卡</w:t>
            </w:r>
          </w:p>
        </w:tc>
        <w:tc>
          <w:tcPr>
            <w:tcW w:type="dxa" w:w="76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载入、可播放、缓冲、播放失败、队列、生成、审查、完成与失败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表单与余额</w:t>
            </w:r>
          </w:p>
        </w:tc>
        <w:tc>
          <w:tcPr>
            <w:tcW w:type="dxa" w:w="76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空值、校验错误、过长、只读、余额不足、预留中和已返还</w:t>
            </w:r>
          </w:p>
        </w:tc>
      </w:tr>
      <w:tr>
        <w:trPr>
          <w:cantSplit/>
        </w:trPr>
        <w:tc>
          <w:tcPr>
            <w:tcW w:type="dxa" w:w="227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使用条件与订单</w:t>
            </w:r>
          </w:p>
        </w:tc>
        <w:tc>
          <w:tcPr>
            <w:tcW w:type="dxa" w:w="763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有效、待确认、暂停、退款中、退款完成、已停订及当前服务期截止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23 AWS 总体架构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89320" cy="51725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rchite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5172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主请求关系图。RDS和S3写回、监控及密钥访问由下文定义；S3 SQS Cognito属于托管服务，不是部署在Pod里的组件。</w:t>
      </w:r>
    </w:p>
    <w:p>
      <w:r>
        <w:rPr>
          <w:b w:val="0"/>
        </w:rPr>
        <w:t>使用东京区域作为主区域。CloudFront交付静态Web与私有音频，API流量进入ALB，再到EKS的API服务。API先将任务和Outbox写入RDS，再派发到SQS。Worker调用TokenStars及获准音乐服务，将音频写S3、状态写RDS。[R18、R19]</w:t>
      </w:r>
    </w:p>
    <w:p>
      <w:r>
        <w:rPr>
          <w:b w:val="0"/>
        </w:rPr>
        <w:t>API、Worker与RDS部署于私有子网。生产API至少两个副本跨两个可用区，RDS PostgreSQL启用Multi-AZ。ALB为入口，不承载长时间音频生成；客户端收到job_id后轮询或订阅状态。</w:t>
      </w:r>
    </w:p>
    <w:p>
      <w:r>
        <w:br w:type="page"/>
      </w:r>
    </w:p>
    <w:p>
      <w:pPr>
        <w:pStyle w:val="Heading1"/>
      </w:pPr>
      <w:r>
        <w:t>24 技术选型与模块边界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"/>
        <w:gridCol w:w="3456"/>
        <w:gridCol w:w="5040"/>
      </w:tblGrid>
      <w:tr>
        <w:trPr>
          <w:cantSplit/>
          <w:tblHeader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建议实现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Web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React TypeScript 静态构建并由S3 CloudFront交付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营销页可预渲染；移动优先，不先做原生App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API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Node.js TypeScript Fastify 模块化单体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账户、项目、报价、任务、许可与支付模块隔离，同一仓库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Worker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同仓库任务进程与FFmpeg CPU容器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适配供应商、读取结果、时长校验、裁剪淡出与格式处理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身份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Cognito User Pool 邮件OTP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JWT验签、issuer audience exp检查；管理员独立角色并启用MFA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数据库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RDS PostgreSQL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用户、项目、任务、订单、消费流水、授权快照；不存音频blob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对象存储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S3独立隔离区与交付区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默认私有、KMS加密、最小权限、签名URL与生命周期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异步队列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SQS Standard与DLQ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至少一次投递；消费者通过数据库幂等，而不是假设只有一次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发布运维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Terraform Helm ECR CloudWatch</w:t>
            </w:r>
          </w:p>
        </w:tc>
        <w:tc>
          <w:tcPr>
            <w:tcW w:type="dxa" w:w="504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Dev与Prod隔离；镜像固定摘要；灰度与可回滚数据库迁移</w:t>
            </w:r>
          </w:p>
        </w:tc>
      </w:tr>
    </w:tbl>
    <w:p>
      <w:pPr>
        <w:spacing w:after="0"/>
      </w:pPr>
    </w:p>
    <w:p>
      <w:pPr>
        <w:pStyle w:val="Heading2"/>
      </w:pPr>
      <w:r>
        <w:t>按规模逐步增加复杂度</w:t>
      </w:r>
    </w:p>
    <w:p>
      <w:r>
        <w:rPr>
          <w:b w:val="0"/>
        </w:rPr>
        <w:t>验证期若公司已有受控EKS，可先在隔离命名空间、独立服务账户和明确预算下复用；必须计入资源分摊，并确认租户隔离。对外稳定收费时采用独立环境或经安全评审的共享边界。首发不采购GPU、不自训练、不引入服务网格或Kafka。</w:t>
      </w:r>
    </w:p>
    <w:p>
      <w:r>
        <w:rPr>
          <w:b w:val="0"/>
        </w:rPr>
        <w:t>组件数量保持为API与Worker两种工作负载，先用RDS Outbox，不用分布式事务。只有测到瓶颈后才引入缓存、读副本、独立事件平台或专门音频服务。TokenStars统一文本模型流量，音频适配层保留独立授权和计费字段。</w:t>
      </w:r>
    </w:p>
    <w:p>
      <w:r>
        <w:rPr>
          <w:b w:val="0"/>
        </w:rPr>
        <w:t>Cognito无密码登录采用Essentials或Plus的USER_AUTH流程；生产邮件配置SES并验证域名，将身份与邮件费用计入AWS预算。[R22] FFmpeg构建、SDK、字体和图标的开源许可及分发义务应纳入依赖清单。</w:t>
      </w:r>
    </w:p>
    <w:p>
      <w:r>
        <w:br w:type="page"/>
      </w:r>
    </w:p>
    <w:p>
      <w:pPr>
        <w:pStyle w:val="Heading1"/>
      </w:pPr>
      <w:r>
        <w:t>25 生成任务状态与计量一致性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976"/>
        <w:gridCol w:w="2347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进入条件和行动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次数账本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VALIDATING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检查用户、用途、输入、供应商可用性和报价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不消费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RESERVED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事务锁定可用次数，创建任务及Outbox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预留1次，防止并发超卖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QUEUED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派发SQS并记录发送状态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预留保持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SUBMITTED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保存供应商请求ID，轮询或接收已验签回调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不再次扣费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UNKNOWN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超时且不知道供应商是否已接单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冻结重复提交，查询原请求；限时人工对账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PROCESSING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取得音频，校验、存隔离区、执行输出检查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不重复收费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DELIVERED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音源及许可快照可访问，事务更新完成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预留转为消费，唯一约束防二次入账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FAILED或REJECTED</w:t>
            </w:r>
          </w:p>
        </w:tc>
        <w:tc>
          <w:tcPr>
            <w:tcW w:type="dxa" w:w="597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最终失败或输出不允许交付</w:t>
            </w:r>
          </w:p>
        </w:tc>
        <w:tc>
          <w:tcPr>
            <w:tcW w:type="dxa" w:w="234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释放预留；已误消费则写补偿流水</w:t>
            </w:r>
          </w:p>
        </w:tc>
      </w:tr>
    </w:tbl>
    <w:p>
      <w:pPr>
        <w:spacing w:after="0"/>
      </w:pPr>
    </w:p>
    <w:p>
      <w:r>
        <w:rPr>
          <w:b w:val="0"/>
        </w:rPr>
        <w:t>供应商超时不能直接再次发起收费生成。若供应商支持幂等，使用固定provider_request_key；不支持时保留原请求并查询。超过用户承诺的处理窗口可先补偿用户，再由平台承担后续上游对账，迟到的结果不得自动再次扣次数。</w:t>
      </w:r>
    </w:p>
    <w:p>
      <w:r>
        <w:rPr>
          <w:b w:val="0"/>
        </w:rPr>
        <w:t>Outbox与订单事务同库提交，避免“已经扣次数但未入队”。Worker使用短事务认领任务，网络调用期间不长期持有数据库锁。SQS重复、Worker重启和回调乱序都通过任务版本号与数据库唯一约束收敛。[R18]</w:t>
      </w:r>
    </w:p>
    <w:p>
      <w:r>
        <w:rPr>
          <w:b w:val="0"/>
        </w:rPr>
        <w:t>取消只对尚未提交供应商的任务保证有效；已提交时显示等待完成。订阅到期时，已在有效期内预留的任务可完成，失败补偿按照原批次规则或明确的服务补偿有效期处理。</w:t>
      </w:r>
    </w:p>
    <w:p>
      <w:r>
        <w:br w:type="page"/>
      </w:r>
    </w:p>
    <w:p>
      <w:pPr>
        <w:pStyle w:val="Heading1"/>
      </w:pPr>
      <w:r>
        <w:t>26 API 契约与数据模型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94"/>
        <w:gridCol w:w="2952"/>
        <w:gridCol w:w="4162"/>
      </w:tblGrid>
      <w:tr>
        <w:trPr>
          <w:cantSplit/>
          <w:tblHeader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关键输入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结果与约束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 /v1/generations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project_id scene prompt duration=30 idempotency_key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202 job_id；相同幂等键同一请求返回同一任务；不同内容返回409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 /v1/jobs/:id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认证用户与job_id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状态、阶段、预估、错误码；只允许所有者查看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 /v1/tracks/:id/exports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clip_start duration=15或30 fade_out format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检查范围和许可后创建导出；重复参数复用现有结果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GET /v1/tracks/:id/license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认证用户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生成时的许可和来源记录；敏感合同不直接暴露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 /v1/checkout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服务端白名单price_key和订单幂等键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返回Stripe Session URL；忽略客户端金额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 /v1/webhooks/stripe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raw body Stripe-Signature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验签并持久化事件后快速2xx；异步处理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 /v1/rights-cases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曲目或文件摘要 证据 联系方式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案件ID；限流与附件安全检查</w:t>
            </w:r>
          </w:p>
        </w:tc>
      </w:tr>
      <w:tr>
        <w:trPr>
          <w:cantSplit/>
        </w:trPr>
        <w:tc>
          <w:tcPr>
            <w:tcW w:type="dxa" w:w="27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POST /v1/subscription/cancel</w:t>
            </w:r>
          </w:p>
        </w:tc>
        <w:tc>
          <w:tcPr>
            <w:tcW w:type="dxa" w:w="295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当前订阅ID 幂等键</w:t>
            </w:r>
          </w:p>
        </w:tc>
        <w:tc>
          <w:tcPr>
            <w:tcW w:type="dxa" w:w="416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确认停止续费时间；失败不显示成功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7"/>
        <w:gridCol w:w="7070"/>
      </w:tblGrid>
      <w:tr>
        <w:trPr>
          <w:cantSplit/>
          <w:tblHeader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数据实体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核心字段及约束</w:t>
            </w:r>
          </w:p>
        </w:tc>
      </w:tr>
      <w:tr>
        <w:trPr>
          <w:cantSplit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users projects tracks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user_id owner_id status；所有对象API进行所有者校验</w:t>
            </w:r>
          </w:p>
        </w:tc>
      </w:tr>
      <w:tr>
        <w:trPr>
          <w:cantSplit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generation_jobs attempts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job_id provider_request_id model_version state version；唯一用户幂等键</w:t>
            </w:r>
          </w:p>
        </w:tc>
      </w:tr>
      <w:tr>
        <w:trPr>
          <w:cantSplit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orders payments subscriptions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Stripe对象ID price_version currency amount period_start period_end；JPY用整数</w:t>
            </w:r>
          </w:p>
        </w:tc>
      </w:tr>
      <w:tr>
        <w:trPr>
          <w:cantSplit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entitlement_batches ledger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批次来源、有效期、grant reserve consume release refund adjustment；追加式流水</w:t>
            </w:r>
          </w:p>
        </w:tc>
      </w:tr>
      <w:tr>
        <w:trPr>
          <w:cantSplit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license_snapshots asset_versions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签约版本、用途地域、生成时间、原始哈希、派生版本及撤回状态</w:t>
            </w:r>
          </w:p>
        </w:tc>
      </w:tr>
      <w:tr>
        <w:trPr>
          <w:cantSplit/>
        </w:trPr>
        <w:tc>
          <w:tcPr>
            <w:tcW w:type="dxa" w:w="28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outbox webhook_events cases</w:t>
            </w:r>
          </w:p>
        </w:tc>
        <w:tc>
          <w:tcPr>
            <w:tcW w:type="dxa" w:w="70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事件ID唯一、处理状态、重试及工单审计；处理失败可重放</w:t>
            </w:r>
          </w:p>
        </w:tc>
      </w:tr>
    </w:tbl>
    <w:p>
      <w:pPr>
        <w:spacing w:after="0"/>
      </w:pPr>
    </w:p>
    <w:p>
      <w:r>
        <w:rPr>
          <w:b w:val="0"/>
        </w:rPr>
        <w:t>查询余额由有效批次的授予、预留、消费和补偿计算。每个业务事件只写一次，每晚对账。不要只维护一个可被覆盖的credits整数。所有业务时间以UTC存储、JST展示。</w:t>
      </w:r>
    </w:p>
    <w:p>
      <w:r>
        <w:br w:type="page"/>
      </w:r>
    </w:p>
    <w:p>
      <w:pPr>
        <w:pStyle w:val="Heading1"/>
      </w:pPr>
      <w:r>
        <w:t>27 Stripe 支付与订阅实现</w:t>
      </w:r>
    </w:p>
    <w:p>
      <w:r>
        <w:rPr>
          <w:b w:val="0"/>
        </w:rPr>
        <w:t>本平台向消费者销售自己的服务，由经营公司作为销售方承担退款、税务和履约责任。Stripe处理支付和商户收款，并不自动代替销售方成为Merchant of Record。没有音乐人分账或用户互相付款，因此首发不需要Stripe Connect。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78"/>
        <w:gridCol w:w="7229"/>
      </w:tblGrid>
      <w:tr>
        <w:trPr>
          <w:cantSplit/>
          <w:tblHeader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授权和对账动作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Checkout成功跳转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仅展示确认中；不能据URL参数授予次数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单次支付成功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服务端核实paid及订单金额币种；订单唯一键保障只授予一个批次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订阅invoice.paid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核对订阅、价格和期间；按invoice及period唯一键发放本期20次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payment_failed或past_due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不发新周期额度；发送交易服务通知，引导卡片更新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subscription.updated或deleted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同步未来续费和结束时间，避免事件乱序覆盖较新状态</w:t>
            </w:r>
          </w:p>
        </w:tc>
      </w:tr>
      <w:tr>
        <w:trPr>
          <w:cantSplit/>
        </w:trPr>
        <w:tc>
          <w:tcPr>
            <w:tcW w:type="dxa" w:w="267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退款与拒付</w:t>
            </w:r>
          </w:p>
        </w:tc>
        <w:tc>
          <w:tcPr>
            <w:tcW w:type="dxa" w:w="722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更新财务记录，撤销未用权益；已履约部分人工评估，不重复自动扣账</w:t>
            </w:r>
          </w:p>
        </w:tc>
      </w:tr>
    </w:tbl>
    <w:p>
      <w:pPr>
        <w:spacing w:after="0"/>
      </w:pPr>
    </w:p>
    <w:p>
      <w:r>
        <w:rPr>
          <w:b w:val="0"/>
        </w:rPr>
        <w:t>Webhook验签必须使用原始请求体及端点专属密钥。验签后先可靠保存事件再返回成功，耗时动作异步处理。去重既用event_id，也用业务对象ID；不同事件可能代表同一笔付款。对乱序事件查询Stripe当前对象并按业务状态判断。[R17]</w:t>
      </w:r>
    </w:p>
    <w:p>
      <w:pPr>
        <w:pStyle w:val="Heading2"/>
      </w:pPr>
      <w:r>
        <w:t>费用与结算控制</w:t>
      </w:r>
    </w:p>
    <w:p>
      <w:r>
        <w:rPr>
          <w:b w:val="0"/>
        </w:rPr>
        <w:t>固定价格使用Stripe价格ID版本。收据、退款与入账记录每日对账，保留gross、fee、refund、net和payout关联。各项费用及税费以实际商户协议为准；退款未必退还原处理费，拒付可能产生额外费用。</w:t>
      </w:r>
    </w:p>
    <w:p>
      <w:r>
        <w:rPr>
          <w:b w:val="0"/>
        </w:rPr>
        <w:t>经营者要确认日本商户可用支付方式、3DS配置、账户限制、结算周期和所售数字内容的审核。生产测试采用少量可退款验证交易并经公司流程授权，本次未进行任何真实扣费。</w:t>
      </w:r>
    </w:p>
    <w:p>
      <w:r>
        <w:rPr>
          <w:b w:val="0"/>
        </w:rPr>
        <w:t>如将来发布iOS或Android原生App，数字内容付款及外链规则需重新研究。当前仅设计Web，不能推导出App内可继续直接采用同样Stripe路径。</w:t>
      </w:r>
    </w:p>
    <w:p>
      <w:r>
        <w:br w:type="page"/>
      </w:r>
    </w:p>
    <w:p>
      <w:pPr>
        <w:pStyle w:val="Heading1"/>
      </w:pPr>
      <w:r>
        <w:t>28 GPT 与音乐供应商适配</w:t>
      </w:r>
    </w:p>
    <w:p>
      <w:r>
        <w:rPr>
          <w:b w:val="0"/>
        </w:rPr>
        <w:t>GPT优先且全部通过TokenStars；Grok、Claude仅在TokenStars支持、协议和评测均获批准时作为文本备选。GPT在这里负责需求理解、参数整理与文字检查，不把通用文本接口当作已经具备音乐波形生成能力。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0"/>
        <w:gridCol w:w="8237"/>
      </w:tblGrid>
      <w:tr>
        <w:trPr>
          <w:cantSplit/>
          <w:tblHeader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输入输出与限制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输入预检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长度、编码、艺人曲名与歌词引用、个人信息提示；关键词命中可申诉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GPT理解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把日文需求整理为scene mood energy tempo instrumentation duration vocal_mode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服务端校验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严格JSON Schema、枚举和长度；GPT不能决定扣费、额度或许可状态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音乐适配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把获批参数映射到供应商实际支持字段；不支持的能力不展示，不假装已传达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输出处理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检测时长、空文件、损坏、过度静音、人声意外输出及基本音量问题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权利与质量检查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上游安全过滤、可用的音频识别信号和必要人工复核；指纹匹配不等于旋律侵权鉴定</w:t>
            </w:r>
          </w:p>
        </w:tc>
      </w:tr>
      <w:tr>
        <w:trPr>
          <w:cantSplit/>
        </w:trPr>
        <w:tc>
          <w:tcPr>
            <w:tcW w:type="dxa" w:w="167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交付</w:t>
            </w:r>
          </w:p>
        </w:tc>
        <w:tc>
          <w:tcPr>
            <w:tcW w:type="dxa" w:w="8237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存原始与派生音源、许可快照和成本事件；所有用户可见字段由服务端确认</w:t>
            </w:r>
          </w:p>
        </w:tc>
      </w:tr>
    </w:tbl>
    <w:p>
      <w:pPr>
        <w:spacing w:after="0"/>
      </w:pPr>
    </w:p>
    <w:p>
      <w:r>
        <w:rPr>
          <w:b w:val="0"/>
        </w:rPr>
        <w:t>意图结构示例：scene=night_walk，mood=calm，energy=0.35，tempo_hint=medium，instruments=[synth,soft_drums]，duration_seconds=30，vocal_mode=instrumental。提示词是非可信数据，不能变成系统指令、任意URL、数据库查询或外部工具调用。</w:t>
      </w:r>
    </w:p>
    <w:p>
      <w:r>
        <w:rPr>
          <w:b w:val="0"/>
        </w:rPr>
        <w:t>OpenAI官方支持结构化输出，但TokenStars是否透传相应协议、拒绝状态、usage与request_id尚待确认。若不支持，使用JSON解析与Schema校验及一次受限修复，不无限循环请求。官方输出权利条款也不能替代TokenStars合同与音乐模型许可。[R11、R21]</w:t>
      </w:r>
    </w:p>
    <w:p>
      <w:r>
        <w:rPr>
          <w:b w:val="0"/>
        </w:rPr>
        <w:t>每个供应商注册项包含支持格式与长度、定价方式、成功计费规则、并发、幂等、数据地区、许可证版本和允许用途。一次任务固定供应商与合同快照，禁止完成后按新合同追溯改写。</w:t>
      </w:r>
    </w:p>
    <w:p>
      <w:r>
        <w:br w:type="page"/>
      </w:r>
    </w:p>
    <w:p>
      <w:pPr>
        <w:pStyle w:val="Heading1"/>
      </w:pPr>
      <w:r>
        <w:t>29 安全可靠性与验证计划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5"/>
        <w:gridCol w:w="8222"/>
      </w:tblGrid>
      <w:tr>
        <w:trPr>
          <w:cantSplit/>
          <w:tblHeader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首发目标或控制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可用性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月度API可用性目标99.5%；生成成功率目标≥95%。均为待测试目标，不是已取得的SLA。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用户等待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创建任务API P95小于1秒；生成端到端P95目标120秒，超过3分钟提示延迟，15分钟进入核实补偿。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伸缩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API按CPU和延迟伸缩；Worker按队列年龄伸缩，同时受供应商并发、用户限流与日预算约束。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权限与秘密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Pod Identity或IRSA最小权限、Secrets Manager、TLS、私有RDS；不把密钥发到浏览器。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媒体访问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下载前对象级鉴权、短时签名链接、阻止公开桶、固定可访问上游域名并防止SSRF。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审计和隐私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日志脱敏；提示词加密限定访问；授权及财务记录与普通内容分开设定保留期限。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灾难恢复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RDS自动备份与PITR；RPO目标15分钟、RTO目标4小时，实际以恢复演练验证。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成本熔断</w:t>
            </w:r>
          </w:p>
        </w:tc>
        <w:tc>
          <w:tcPr>
            <w:tcW w:type="dxa" w:w="822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按日和供应商限额，异常失效率与账单偏差触发暂停新增生成；保留订单查询与下载。</w:t>
            </w:r>
          </w:p>
        </w:tc>
      </w:tr>
    </w:tbl>
    <w:p>
      <w:pPr>
        <w:spacing w:after="0"/>
      </w:pPr>
    </w:p>
    <w:p>
      <w:pPr>
        <w:pStyle w:val="Heading2"/>
      </w:pPr>
      <w:r>
        <w:t>必要验证</w:t>
      </w:r>
    </w:p>
    <w:p>
      <w:r>
        <w:rPr>
          <w:b w:val="0"/>
        </w:rPr>
        <w:t>模型体验：先获准进行评测，用30个自写提示覆盖三种场景、多人盲听评分、是否采用和重试次数。专业音质、无意人声、时长误差及格式分别记录。供应商合同若限制基准测试，先取得评测许可。</w:t>
      </w:r>
    </w:p>
    <w:p>
      <w:r>
        <w:rPr>
          <w:b w:val="0"/>
        </w:rPr>
        <w:t>工程测试聚焦真风险：并发抢同一余额、Webhook重复与乱序、支付成功但服务中断、上游超时后迟到、Worker中途退出、退款后重放、账户A访问B音源、删除账户与法律保留冲突。不能只测试页面是否能打开。</w:t>
      </w:r>
    </w:p>
    <w:p>
      <w:r>
        <w:rPr>
          <w:b w:val="0"/>
        </w:rPr>
        <w:t>初步负载假设为每天1,000次请求、10倍峰值约7次/分钟；若生成平均90秒，供应商实际并发约需11并加余量。该容量只是测试输入，不能用Pod数代替上游配额。正式公测前验证账本零重复消费与恢复演练。</w:t>
      </w:r>
    </w:p>
    <w:p>
      <w:r>
        <w:br w:type="page"/>
      </w:r>
    </w:p>
    <w:p>
      <w:pPr>
        <w:pStyle w:val="Heading1"/>
      </w:pPr>
      <w:r>
        <w:t>30 交付计划与责任分工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3096"/>
        <w:gridCol w:w="511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工作包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建议负责人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完成定义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产品与实验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用户本人担任产品负责人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选择首个场景、招募与访谈、价格实验、每周明确继续或停止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音乐采购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商务负责人 联合法务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签署平台与下游许可、真实价格、退出及索赔条款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工程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1名核心全栈或后端 加共享前端资源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可观测的生成支付闭环、隔离环境、回滚及对账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体验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兼职产品设计与日文编辑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按本稿页面完成组件及交互实现，日文内容经过母语审阅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运营与音质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兼职运营 加按需音频专业人员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作品质量审核、用户反馈、退款与版权工单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法律与财务</w:t>
            </w:r>
          </w:p>
        </w:tc>
        <w:tc>
          <w:tcPr>
            <w:tcW w:type="dxa" w:w="309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日本执业律师 税理士</w:t>
            </w:r>
          </w:p>
        </w:tc>
        <w:tc>
          <w:tcPr>
            <w:tcW w:type="dxa" w:w="511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许可与消费者条款、APPI、次数分类、税务和收入确认审查</w:t>
            </w:r>
          </w:p>
        </w:tc>
      </w:tr>
    </w:tbl>
    <w:p>
      <w:pPr>
        <w:spacing w:after="0"/>
      </w:pPr>
    </w:p>
    <w:p>
      <w:pPr>
        <w:pStyle w:val="Heading2"/>
      </w:pPr>
      <w:r>
        <w:t>两周工程增量</w:t>
      </w:r>
    </w:p>
    <w:p>
      <w:r>
        <w:rPr>
          <w:b w:val="0"/>
        </w:rPr>
        <w:t>第一轮先实现样音、创建流程与任务状态的可用原型。第二轮接获准供应商、私有S3和来源记录。第三轮完成Stripe测试模式、消费账本及退款补偿。第四轮处理权限、故障和成本限制后有限收费。月订阅需等待前述复购门槛，不为赶功能提前开启。</w:t>
      </w:r>
    </w:p>
    <w:p>
      <w:pPr>
        <w:pStyle w:val="Heading2"/>
      </w:pPr>
      <w:r>
        <w:t>你可以亲自主导的工作</w:t>
      </w:r>
    </w:p>
    <w:p>
      <w:r>
        <w:rPr>
          <w:b w:val="0"/>
        </w:rPr>
        <w:t>你可以定义场景、组织供应商与法务谈判、利用AI辅助完成原型，并掌握实验和经营判断。公司化收费运营还需要明确工程维护、客服、支付与法律责任。个人主导不等于所有生产支持都由一个人承担。</w:t>
      </w:r>
    </w:p>
    <w:p>
      <w:r>
        <w:rPr>
          <w:b w:val="0"/>
        </w:rPr>
        <w:t>音乐与视频产品可在有真实重合用户后试验组合购买、编辑流程共用和账户连接；共享前应明示用途和数据处理。不要在音乐付费尚未成立时，先建设一个同时做知识库、视频、音乐的大平台。</w:t>
      </w:r>
    </w:p>
    <w:p>
      <w:r>
        <w:br w:type="page"/>
      </w:r>
    </w:p>
    <w:p>
      <w:pPr>
        <w:pStyle w:val="Heading1"/>
      </w:pPr>
      <w:r>
        <w:t>31 收费上线前的决策清单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3456"/>
        <w:gridCol w:w="3571"/>
      </w:tblGrid>
      <w:tr>
        <w:trPr>
          <w:cantSplit/>
          <w:tblHeader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必要证据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目前状态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13B5B"/>
          </w:tcPr>
          <w:p>
            <w:pPr>
              <w:spacing w:line="266" w:lineRule="exact" w:after="0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下一步责任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真实经营主体与预算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待公司确认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产品负责人确定归属、责任和实验成本上限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企业API与下载许可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未取得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商务带完整产品描述向候选索取书面协议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用户许可与权利存续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未取得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法务确认下游授权机制、地域及停订后的既有权利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上游报价及分成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只有公开参考和测算假设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填入Excel后重新检查平均及满额贡献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次数包与消费者条款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尚未经过法律审查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律师审查资金结算法、特商法、取消与退款实现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TokenStars技术能力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用户已指定为文本供应商，细节未核验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确认可用模型ID、结构化输出、限流、usage、请求ID及合同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模型音质与需求验证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本次未实际生成音乐或访谈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在合法评测许可下完成样本测试和真实付费实验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支付与生产安全</w:t>
            </w:r>
          </w:p>
        </w:tc>
        <w:tc>
          <w:tcPr>
            <w:tcW w:type="dxa" w:w="345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仅设计，未部署</w:t>
            </w:r>
          </w:p>
        </w:tc>
        <w:tc>
          <w:tcPr>
            <w:tcW w:type="dxa" w:w="357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0F3F7"/>
          </w:tcPr>
          <w:p>
            <w:pPr>
              <w:spacing w:line="266" w:lineRule="exact" w:after="0"/>
            </w:pPr>
            <w:r>
              <w:rPr>
                <w:rFonts w:ascii="Noto Sans CJK SC" w:hAnsi="Noto Sans CJK SC" w:eastAsia="Noto Sans CJK SC"/>
                <w:b w:val="0"/>
                <w:color w:val="111827"/>
                <w:sz w:val="18"/>
              </w:rPr>
              <w:t>工程完成Stripe测试、权限、账本、恢复与监控验收</w:t>
            </w:r>
          </w:p>
        </w:tc>
      </w:tr>
    </w:tbl>
    <w:p>
      <w:pPr>
        <w:spacing w:after="0"/>
      </w:pPr>
    </w:p>
    <w:p>
      <w:pPr>
        <w:pStyle w:val="Heading2"/>
      </w:pPr>
      <w:r>
        <w:t>建议现在作出的业务决定</w:t>
      </w:r>
    </w:p>
    <w:p>
      <w:r>
        <w:rPr>
          <w:b w:val="0"/>
        </w:rPr>
        <w:t>将本项目定位为十二周的可撤回商业实验；首发选个人短视频纯音乐配乐；采用按需起步、有限月订阅后开的模式；供应商授权和全成本贡献双重通过后再收费。暂不承诺完整歌曲发行，也不承诺排他版权。</w:t>
      </w:r>
    </w:p>
    <w:p>
      <w:pPr>
        <w:pStyle w:val="Heading2"/>
      </w:pPr>
      <w:r>
        <w:t>最先需要补充的三项事实</w:t>
      </w:r>
    </w:p>
    <w:p>
      <w:r>
        <w:rPr>
          <w:b w:val="0"/>
        </w:rPr>
        <w:t>第一，公司愿意投入的新增现金和人员时间上限。第二，是否接受从纯音乐配乐切入，还是第一天就必须包含歌词和演唱。第三，经营主体及现有AWS、TokenStars与Stripe合同条件。这些会改变后续实施版本，但不妨碍本稿作为评审起点。</w:t>
      </w:r>
    </w:p>
    <w:p>
      <w:r>
        <w:rPr>
          <w:b w:val="0"/>
        </w:rPr>
        <w:t>后续若选择“完整歌曲与演唱”作为首发，本稿的界面体系、计量和云架构可部分复用；模型许可、质量评测、人物声音、歌词输入、发行和成本必须重做，不应直接开启隐藏选项。</w:t>
      </w:r>
    </w:p>
    <w:p>
      <w:r>
        <w:br w:type="page"/>
      </w:r>
    </w:p>
    <w:p>
      <w:pPr>
        <w:pStyle w:val="Heading1"/>
      </w:pPr>
      <w:r>
        <w:t>32 资料来源</w:t>
      </w:r>
    </w:p>
    <w:p>
      <w:r>
        <w:rPr>
          <w:b w:val="0"/>
          <w:sz w:val="18"/>
        </w:rPr>
        <w:t>以下为本次核验的原始资料。检索日期均为2026年9月9日；访问日期不等于法律或合同的生效日期。点击标题可访问来源。</w:t>
      </w:r>
    </w:p>
    <w:p>
      <w:pPr>
        <w:spacing w:after="120" w:line="260" w:lineRule="exact"/>
      </w:pPr>
      <w:hyperlink r:id="rId23">
        <w:r>
          <w:rPr>
            <w:color w:val="234D76"/>
            <w:sz w:val="18"/>
          </w:rPr>
          <w:t>R01  文化厅 AIと著作権に関する考え方について</w:t>
        </w:r>
      </w:hyperlink>
    </w:p>
    <w:p>
      <w:r>
        <w:rPr>
          <w:b w:val="0"/>
          <w:sz w:val="17"/>
        </w:rPr>
        <w:t>2024年3月15日。生成利用与著作物性，重点第32至40页。</w:t>
      </w:r>
    </w:p>
    <w:p>
      <w:pPr>
        <w:spacing w:after="120" w:line="260" w:lineRule="exact"/>
      </w:pPr>
      <w:hyperlink r:id="rId24">
        <w:r>
          <w:rPr>
            <w:color w:val="234D76"/>
            <w:sz w:val="18"/>
          </w:rPr>
          <w:t>R02  文化厅 AIと著作権に関するチェックリスト＆ガイダンス</w:t>
        </w:r>
      </w:hyperlink>
    </w:p>
    <w:p>
      <w:r>
        <w:rPr>
          <w:b w:val="0"/>
          <w:sz w:val="17"/>
        </w:rPr>
        <w:t>风险治理参考；不能视为个案不侵权认证。</w:t>
      </w:r>
    </w:p>
    <w:p>
      <w:pPr>
        <w:spacing w:after="120" w:line="260" w:lineRule="exact"/>
      </w:pPr>
      <w:hyperlink r:id="rId25">
        <w:r>
          <w:rPr>
            <w:color w:val="234D76"/>
            <w:sz w:val="18"/>
          </w:rPr>
          <w:t>R03  JASRAC 動画配信</w:t>
        </w:r>
      </w:hyperlink>
    </w:p>
    <w:p>
      <w:r>
        <w:rPr>
          <w:b w:val="0"/>
          <w:sz w:val="17"/>
        </w:rPr>
        <w:t>市售音源邻接权、编曲译词与视频传播手续。</w:t>
      </w:r>
    </w:p>
    <w:p>
      <w:pPr>
        <w:spacing w:after="120" w:line="260" w:lineRule="exact"/>
      </w:pPr>
      <w:hyperlink r:id="rId26">
        <w:r>
          <w:rPr>
            <w:color w:val="234D76"/>
            <w:sz w:val="18"/>
          </w:rPr>
          <w:t>R04  ElevenLabs Music API Terms</w:t>
        </w:r>
      </w:hyperlink>
    </w:p>
    <w:p>
      <w:r>
        <w:rPr>
          <w:b w:val="0"/>
          <w:sz w:val="17"/>
        </w:rPr>
        <w:t>页面标注2025年8月18日。API转售、纯音乐公司与联合品牌。</w:t>
      </w:r>
    </w:p>
    <w:p>
      <w:pPr>
        <w:spacing w:after="120" w:line="260" w:lineRule="exact"/>
      </w:pPr>
      <w:hyperlink r:id="rId27">
        <w:r>
          <w:rPr>
            <w:color w:val="234D76"/>
            <w:sz w:val="18"/>
          </w:rPr>
          <w:t>R05  Eleven Music Model Specific Terms</w:t>
        </w:r>
      </w:hyperlink>
    </w:p>
    <w:p>
      <w:r>
        <w:rPr>
          <w:b w:val="0"/>
          <w:sz w:val="17"/>
        </w:rPr>
        <w:t>页面标注2026年5月26日。计划资格、转售及素材库权限。</w:t>
      </w:r>
    </w:p>
    <w:p>
      <w:pPr>
        <w:spacing w:after="120" w:line="260" w:lineRule="exact"/>
      </w:pPr>
      <w:hyperlink r:id="rId28">
        <w:r>
          <w:rPr>
            <w:color w:val="234D76"/>
            <w:sz w:val="18"/>
          </w:rPr>
          <w:t>R06  ElevenLabs Music Terms</w:t>
        </w:r>
      </w:hyperlink>
    </w:p>
    <w:p>
      <w:r>
        <w:rPr>
          <w:b w:val="0"/>
          <w:sz w:val="17"/>
        </w:rPr>
        <w:t>页面标注2026年5月26日。输入限制、声音模仿与输出免责声明。</w:t>
      </w:r>
    </w:p>
    <w:p>
      <w:pPr>
        <w:spacing w:after="120" w:line="260" w:lineRule="exact"/>
      </w:pPr>
      <w:hyperlink r:id="rId29">
        <w:r>
          <w:rPr>
            <w:color w:val="234D76"/>
            <w:sz w:val="18"/>
          </w:rPr>
          <w:t>R07  SOUNDRAW AI Music API</w:t>
        </w:r>
      </w:hyperlink>
    </w:p>
    <w:p>
      <w:r>
        <w:rPr>
          <w:b w:val="0"/>
          <w:sz w:val="17"/>
        </w:rPr>
        <w:t>多用户API、公开价格与资格；市场宣传不是个案法律保证。</w:t>
      </w:r>
    </w:p>
    <w:p>
      <w:pPr>
        <w:spacing w:after="120" w:line="260" w:lineRule="exact"/>
      </w:pPr>
      <w:hyperlink r:id="rId30">
        <w:r>
          <w:rPr>
            <w:color w:val="234D76"/>
            <w:sz w:val="18"/>
          </w:rPr>
          <w:t>R08  SOUNDRAW API Pro General Agreement and Licensing Terms</w:t>
        </w:r>
      </w:hyperlink>
    </w:p>
    <w:p>
      <w:r>
        <w:rPr>
          <w:b w:val="0"/>
          <w:sz w:val="17"/>
        </w:rPr>
        <w:t>由官方API页面链接的公开合同。已读取其公开文本，重点第2至3、8、12至13条；下载分成与许可矛盾需澄清。</w:t>
      </w:r>
    </w:p>
    <w:p>
      <w:pPr>
        <w:spacing w:after="120" w:line="260" w:lineRule="exact"/>
      </w:pPr>
      <w:hyperlink r:id="rId31">
        <w:r>
          <w:rPr>
            <w:color w:val="234D76"/>
            <w:sz w:val="18"/>
          </w:rPr>
          <w:t>R09  Suno Terms of Service</w:t>
        </w:r>
      </w:hyperlink>
    </w:p>
    <w:p>
      <w:r>
        <w:rPr>
          <w:b w:val="0"/>
          <w:sz w:val="17"/>
        </w:rPr>
        <w:t>现行网页中的商用、下载、服务使用及输出规定；不能沿用旧版订阅经验。</w:t>
      </w:r>
    </w:p>
    <w:p>
      <w:pPr>
        <w:spacing w:after="120" w:line="260" w:lineRule="exact"/>
      </w:pPr>
      <w:hyperlink r:id="rId32">
        <w:r>
          <w:rPr>
            <w:color w:val="234D76"/>
            <w:sz w:val="18"/>
          </w:rPr>
          <w:t>R10  Google Cloud Lyria model overview</w:t>
        </w:r>
      </w:hyperlink>
    </w:p>
    <w:p>
      <w:r>
        <w:rPr>
          <w:b w:val="0"/>
          <w:sz w:val="17"/>
        </w:rPr>
        <w:t>官方Clip与Pro预览型号及能力。未据此确认全部下游商用权。</w:t>
      </w:r>
    </w:p>
    <w:p>
      <w:pPr>
        <w:spacing w:after="120" w:line="260" w:lineRule="exact"/>
      </w:pPr>
      <w:hyperlink r:id="rId33">
        <w:r>
          <w:rPr>
            <w:color w:val="234D76"/>
            <w:sz w:val="18"/>
          </w:rPr>
          <w:t>R11  OpenAI Services Agreement</w:t>
        </w:r>
      </w:hyperlink>
    </w:p>
    <w:p>
      <w:r>
        <w:rPr>
          <w:b w:val="0"/>
          <w:sz w:val="17"/>
        </w:rPr>
        <w:t>输出归属、相似输出、客户责任、数据使用和API限制。</w:t>
      </w:r>
    </w:p>
    <w:p>
      <w:r>
        <w:br w:type="page"/>
      </w:r>
    </w:p>
    <w:p>
      <w:pPr>
        <w:pStyle w:val="Heading1"/>
      </w:pPr>
      <w:r>
        <w:t>33 资料来源与研究限制</w:t>
      </w:r>
    </w:p>
    <w:p>
      <w:pPr>
        <w:spacing w:after="120" w:line="260" w:lineRule="exact"/>
      </w:pPr>
      <w:hyperlink r:id="rId34">
        <w:r>
          <w:rPr>
            <w:color w:val="234D76"/>
            <w:sz w:val="18"/>
          </w:rPr>
          <w:t>R12  Stripe Japan Pricing</w:t>
        </w:r>
      </w:hyperlink>
    </w:p>
    <w:p>
      <w:r>
        <w:rPr>
          <w:b w:val="0"/>
          <w:sz w:val="17"/>
        </w:rPr>
        <w:t>卡支付3.6%、Billing按量0.7%等公开价格，实际商户合同优先。</w:t>
      </w:r>
    </w:p>
    <w:p>
      <w:pPr>
        <w:spacing w:after="120" w:line="260" w:lineRule="exact"/>
      </w:pPr>
      <w:hyperlink r:id="rId35">
        <w:r>
          <w:rPr>
            <w:color w:val="234D76"/>
            <w:sz w:val="18"/>
          </w:rPr>
          <w:t>R13  消费者厅 通信販売における最終確認画面</w:t>
        </w:r>
      </w:hyperlink>
    </w:p>
    <w:p>
      <w:r>
        <w:rPr>
          <w:b w:val="0"/>
          <w:sz w:val="17"/>
        </w:rPr>
        <w:t>订单最终确认中的数量、金额、时点和解除条件。</w:t>
      </w:r>
    </w:p>
    <w:p>
      <w:pPr>
        <w:spacing w:after="120" w:line="260" w:lineRule="exact"/>
      </w:pPr>
      <w:hyperlink r:id="rId36">
        <w:r>
          <w:rPr>
            <w:color w:val="234D76"/>
            <w:sz w:val="18"/>
          </w:rPr>
          <w:t>R14  关东财务局 前払式支払手段関係</w:t>
        </w:r>
      </w:hyperlink>
    </w:p>
    <w:p>
      <w:r>
        <w:rPr>
          <w:b w:val="0"/>
          <w:sz w:val="17"/>
        </w:rPr>
        <w:t>自家型申报、第三方型注册与退款等；按业务实质进行适用审查。</w:t>
      </w:r>
    </w:p>
    <w:p>
      <w:pPr>
        <w:spacing w:after="120" w:line="260" w:lineRule="exact"/>
      </w:pPr>
      <w:hyperlink r:id="rId37">
        <w:r>
          <w:rPr>
            <w:color w:val="234D76"/>
            <w:sz w:val="18"/>
          </w:rPr>
          <w:t>R15  个人信息保护委员会 外国にある第三者への提供編</w:t>
        </w:r>
      </w:hyperlink>
    </w:p>
    <w:p>
      <w:r>
        <w:rPr>
          <w:b w:val="0"/>
          <w:sz w:val="17"/>
        </w:rPr>
        <w:t>APPI境外提供、信息披露与相当措施相关指引。</w:t>
      </w:r>
    </w:p>
    <w:p>
      <w:pPr>
        <w:spacing w:after="120" w:line="260" w:lineRule="exact"/>
      </w:pPr>
      <w:hyperlink r:id="rId38">
        <w:r>
          <w:rPr>
            <w:color w:val="234D76"/>
            <w:sz w:val="18"/>
          </w:rPr>
          <w:t>R16  Stripe 3DS Mandate in Japan</w:t>
        </w:r>
      </w:hyperlink>
    </w:p>
    <w:p>
      <w:r>
        <w:rPr>
          <w:b w:val="0"/>
          <w:sz w:val="17"/>
        </w:rPr>
        <w:t>日本3DS商户要求；部署前复核最新细则和适用豁免。</w:t>
      </w:r>
    </w:p>
    <w:p>
      <w:pPr>
        <w:spacing w:after="120" w:line="260" w:lineRule="exact"/>
      </w:pPr>
      <w:hyperlink r:id="rId39">
        <w:r>
          <w:rPr>
            <w:color w:val="234D76"/>
            <w:sz w:val="18"/>
          </w:rPr>
          <w:t>R17  Stripe Webhooks</w:t>
        </w:r>
      </w:hyperlink>
    </w:p>
    <w:p>
      <w:r>
        <w:rPr>
          <w:b w:val="0"/>
          <w:sz w:val="17"/>
        </w:rPr>
        <w:t>原始请求体验签、重复事件和异步处理。</w:t>
      </w:r>
    </w:p>
    <w:p>
      <w:pPr>
        <w:spacing w:after="120" w:line="260" w:lineRule="exact"/>
      </w:pPr>
      <w:hyperlink r:id="rId40">
        <w:r>
          <w:rPr>
            <w:color w:val="234D76"/>
            <w:sz w:val="18"/>
          </w:rPr>
          <w:t>R18  AWS SQS Standard queues</w:t>
        </w:r>
      </w:hyperlink>
    </w:p>
    <w:p>
      <w:r>
        <w:rPr>
          <w:b w:val="0"/>
          <w:sz w:val="17"/>
        </w:rPr>
        <w:t>至少一次投递、可能重复及乱序。</w:t>
      </w:r>
    </w:p>
    <w:p>
      <w:pPr>
        <w:spacing w:after="120" w:line="260" w:lineRule="exact"/>
      </w:pPr>
      <w:hyperlink r:id="rId41">
        <w:r>
          <w:rPr>
            <w:color w:val="234D76"/>
            <w:sz w:val="18"/>
          </w:rPr>
          <w:t>R19  AWS EKS Application Load Balancers</w:t>
        </w:r>
      </w:hyperlink>
    </w:p>
    <w:p>
      <w:r>
        <w:rPr>
          <w:b w:val="0"/>
          <w:sz w:val="17"/>
        </w:rPr>
        <w:t>ALB Ingress与跨可用区子网等实现要求。</w:t>
      </w:r>
    </w:p>
    <w:p>
      <w:pPr>
        <w:spacing w:after="120" w:line="260" w:lineRule="exact"/>
      </w:pPr>
      <w:hyperlink r:id="rId42">
        <w:r>
          <w:rPr>
            <w:color w:val="234D76"/>
            <w:sz w:val="18"/>
          </w:rPr>
          <w:t>R20  YouTube Content eligible for Content ID</w:t>
        </w:r>
      </w:hyperlink>
    </w:p>
    <w:p>
      <w:r>
        <w:rPr>
          <w:b w:val="0"/>
          <w:sz w:val="17"/>
        </w:rPr>
        <w:t>独占权要求及非独占素材等不适格情形。</w:t>
      </w:r>
    </w:p>
    <w:p>
      <w:pPr>
        <w:spacing w:after="120" w:line="260" w:lineRule="exact"/>
      </w:pPr>
      <w:hyperlink r:id="rId43">
        <w:r>
          <w:rPr>
            <w:color w:val="234D76"/>
            <w:sz w:val="18"/>
          </w:rPr>
          <w:t>R21  OpenAI Structured model outputs</w:t>
        </w:r>
      </w:hyperlink>
    </w:p>
    <w:p>
      <w:r>
        <w:rPr>
          <w:b w:val="0"/>
          <w:sz w:val="17"/>
        </w:rPr>
        <w:t>结构化输出功能参考；TokenStars透传能力需要另行验证。</w:t>
      </w:r>
    </w:p>
    <w:p>
      <w:pPr>
        <w:spacing w:after="120" w:line="260" w:lineRule="exact"/>
      </w:pPr>
      <w:hyperlink r:id="rId44">
        <w:r>
          <w:rPr>
            <w:color w:val="234D76"/>
            <w:sz w:val="18"/>
          </w:rPr>
          <w:t>R22  AWS Cognito Essentials plan features</w:t>
        </w:r>
      </w:hyperlink>
    </w:p>
    <w:p>
      <w:r>
        <w:rPr>
          <w:b w:val="0"/>
          <w:sz w:val="17"/>
        </w:rPr>
        <w:t>USER_AUTH和无密码登录的功能计划要求；邮件发送需另计预算。</w:t>
      </w:r>
    </w:p>
    <w:p>
      <w:r>
        <w:rPr>
          <w:b w:val="0"/>
          <w:sz w:val="18"/>
        </w:rPr>
        <w:t>未完成事项包括企业合同审查、司法判例穷尽检索、商标检索、供应商实际音质与负载评测、消费者访谈及真实付款测试。法规、模型条款和平台政策可能变化，正式收费、增加功能和替换供应商前应重新复核适用版本。</w:t>
      </w:r>
    </w:p>
    <w:p>
      <w:r>
        <w:rPr>
          <w:b w:val="0"/>
          <w:sz w:val="18"/>
        </w:rPr>
        <w:t>建议及阈值是本项目的可检验假设；供应商宣称“安全”或“无版税”均未被本稿当作法律结论。正文授权设计以最终签署条款为前提。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123" w:bottom="922" w:left="1123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内部评审稿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TokenStars  音乐平台设计  2026年9月9日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4" w:lineRule="exact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Noto Sans CJK SC" w:hAnsi="Noto Sans CJK SC" w:eastAsia="Noto Sans CJK SC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hyperlink" Target="https://www.bunka.go.jp/seisaku/bunkashingikai/chosakuken/pdf/94037901_01.pdf" TargetMode="External"/><Relationship Id="rId24" Type="http://schemas.openxmlformats.org/officeDocument/2006/relationships/hyperlink" Target="https://www.bunka.go.jp/seisaku/chosakuken/pdf/94097701_01.pdf" TargetMode="External"/><Relationship Id="rId25" Type="http://schemas.openxmlformats.org/officeDocument/2006/relationships/hyperlink" Target="https://www.jasrac.or.jp/users/internet/video/" TargetMode="External"/><Relationship Id="rId26" Type="http://schemas.openxmlformats.org/officeDocument/2006/relationships/hyperlink" Target="https://elevenlabs.io/music-api-terms" TargetMode="External"/><Relationship Id="rId27" Type="http://schemas.openxmlformats.org/officeDocument/2006/relationships/hyperlink" Target="https://elevenlabs.io/eleven-music-model-specific-terms" TargetMode="External"/><Relationship Id="rId28" Type="http://schemas.openxmlformats.org/officeDocument/2006/relationships/hyperlink" Target="https://elevenlabs.io/music-terms" TargetMode="External"/><Relationship Id="rId29" Type="http://schemas.openxmlformats.org/officeDocument/2006/relationships/hyperlink" Target="https://soundraw.io/api" TargetMode="External"/><Relationship Id="rId30" Type="http://schemas.openxmlformats.org/officeDocument/2006/relationships/hyperlink" Target="https://docs.google.com/document/d/1IJexqNtBzHJenYfQoxc4nxXn7VC3MY7LXa3bKAbg0Rs/edit" TargetMode="External"/><Relationship Id="rId31" Type="http://schemas.openxmlformats.org/officeDocument/2006/relationships/hyperlink" Target="https://suno.com/terms" TargetMode="External"/><Relationship Id="rId32" Type="http://schemas.openxmlformats.org/officeDocument/2006/relationships/hyperlink" Target="https://docs.cloud.google.com/gemini-enterprise-agent-platform/models/music/overview" TargetMode="External"/><Relationship Id="rId33" Type="http://schemas.openxmlformats.org/officeDocument/2006/relationships/hyperlink" Target="https://openai.com/policies/services-agreement/" TargetMode="External"/><Relationship Id="rId34" Type="http://schemas.openxmlformats.org/officeDocument/2006/relationships/hyperlink" Target="https://stripe.com/en-jp/pricing" TargetMode="External"/><Relationship Id="rId35" Type="http://schemas.openxmlformats.org/officeDocument/2006/relationships/hyperlink" Target="https://www.caa.go.jp/notice/assets/consumer_transaction_cms203_240315_02.pdf" TargetMode="External"/><Relationship Id="rId36" Type="http://schemas.openxmlformats.org/officeDocument/2006/relationships/hyperlink" Target="https://lfb.mof.go.jp/kantou/kinyuu/pagekthp00400036.html" TargetMode="External"/><Relationship Id="rId37" Type="http://schemas.openxmlformats.org/officeDocument/2006/relationships/hyperlink" Target="https://www.ppc.go.jp/personalinfo/legal/guidelines_offshore/" TargetMode="External"/><Relationship Id="rId38" Type="http://schemas.openxmlformats.org/officeDocument/2006/relationships/hyperlink" Target="https://support.stripe.com/questions/3ds-mandate-in-japan" TargetMode="External"/><Relationship Id="rId39" Type="http://schemas.openxmlformats.org/officeDocument/2006/relationships/hyperlink" Target="https://docs.stripe.com/webhooks" TargetMode="External"/><Relationship Id="rId40" Type="http://schemas.openxmlformats.org/officeDocument/2006/relationships/hyperlink" Target="https://docs.aws.amazon.com/AWSSimpleQueueService/latest/SQSDeveloperGuide/standard-queues.html" TargetMode="External"/><Relationship Id="rId41" Type="http://schemas.openxmlformats.org/officeDocument/2006/relationships/hyperlink" Target="https://docs.aws.amazon.com/eks/latest/userguide/alb-ingress.html" TargetMode="External"/><Relationship Id="rId42" Type="http://schemas.openxmlformats.org/officeDocument/2006/relationships/hyperlink" Target="https://support.google.com/youtube/answer/2605065?hl=en" TargetMode="External"/><Relationship Id="rId43" Type="http://schemas.openxmlformats.org/officeDocument/2006/relationships/hyperlink" Target="https://developers.openai.com/api/docs/guides/structured-outputs" TargetMode="External"/><Relationship Id="rId44" Type="http://schemas.openxmlformats.org/officeDocument/2006/relationships/hyperlink" Target="https://docs.aws.amazon.com/cognito/latest/developerguide/feature-plans-features-essential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TokenStars 音乐平台商业与产品设计</dc:title>
  <dc:subject>日本首发的原创配乐产品 合规 商业 UI 技术与运营设计</dc:subject>
  <dc:creator/>
  <cp:keywords>TokenStars 音乐 AI 日本 产品设计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