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Lucas Thevenard — Academic CV</w:t>
      </w:r>
    </w:p>
    <w:p>
      <w:pPr>
        <w:pStyle w:val="FirstParagraph"/>
      </w:pPr>
      <w:r>
        <w:t xml:space="preserve">Academic CV</w:t>
      </w:r>
    </w:p>
    <w:bookmarkStart w:id="9" w:name="lucas-thevenard"/>
    <w:p>
      <w:pPr>
        <w:pStyle w:val="Heading1"/>
      </w:pPr>
      <w:r>
        <w:t xml:space="preserve">Lucas Thevenard</w:t>
      </w:r>
    </w:p>
    <w:p>
      <w:pPr>
        <w:pStyle w:val="FirstParagraph"/>
      </w:pPr>
      <w:r>
        <w:t xml:space="preserve">Researcher and Teaching Assistant</w:t>
      </w:r>
    </w:p>
    <w:p>
      <w:pPr>
        <w:pStyle w:val="BodyText"/>
      </w:pPr>
      <w:r>
        <w:t xml:space="preserve">FGV Rio Law — PhD Program in Regulatory Law</w:t>
      </w:r>
    </w:p>
    <w:bookmarkEnd w:id="9"/>
    <w:p>
      <w:pPr>
        <w:pStyle w:val="BodyText"/>
      </w:pPr>
      <w:r>
        <w:t xml:space="preserve">Research interests</w:t>
      </w:r>
    </w:p>
    <w:p>
      <w:pPr>
        <w:pStyle w:val="BodyText"/>
      </w:pPr>
      <w:r>
        <w:t xml:space="preserve">Public participation in regulation; Regulatory Impact Analysis (RIA);</w:t>
      </w:r>
      <w:r>
        <w:t xml:space="preserve"> </w:t>
      </w:r>
      <w:r>
        <w:t xml:space="preserve">regulatory complexity; evidence-based governance; empirical legal studies;</w:t>
      </w:r>
      <w:r>
        <w:t xml:space="preserve"> </w:t>
      </w:r>
      <w:r>
        <w:t xml:space="preserve">NLP and computational methods applied to regulation.</w:t>
      </w:r>
    </w:p>
    <w:bookmarkStart w:id="10" w:name="academic-profile-and-research-interests"/>
    <w:p>
      <w:pPr>
        <w:pStyle w:val="Heading2"/>
      </w:pPr>
      <w:r>
        <w:t xml:space="preserve">Academic Profile and Research Interests</w:t>
      </w:r>
    </w:p>
    <w:p>
      <w:pPr>
        <w:pStyle w:val="FirstParagraph"/>
      </w:pPr>
      <w:r>
        <w:t xml:space="preserve">I am a researcher and university lecturer working in Regulatory Law. I am a visiting</w:t>
      </w:r>
      <w:r>
        <w:t xml:space="preserve"> </w:t>
      </w:r>
      <w:r>
        <w:t xml:space="preserve">researcher at the Regulatory Studies Center at George Washington University. As a</w:t>
      </w:r>
      <w:r>
        <w:t xml:space="preserve"> </w:t>
      </w:r>
      <w:r>
        <w:t xml:space="preserve">member of FGV's Regulation in Numbers project, I conduct empirical research on</w:t>
      </w:r>
      <w:r>
        <w:t xml:space="preserve"> </w:t>
      </w:r>
      <w:r>
        <w:t xml:space="preserve">regulatory processes, with a focus on public participation in regulatory agencies,</w:t>
      </w:r>
      <w:r>
        <w:t xml:space="preserve"> </w:t>
      </w:r>
      <w:r>
        <w:t xml:space="preserve">regulatory impact analysis, and regulatory agendas.</w:t>
      </w:r>
    </w:p>
    <w:p>
      <w:pPr>
        <w:pStyle w:val="BodyText"/>
      </w:pPr>
      <w:r>
        <w:t xml:space="preserve">My work combines legal research with quantitative and computational methods, including</w:t>
      </w:r>
      <w:r>
        <w:t xml:space="preserve"> </w:t>
      </w:r>
      <w:r>
        <w:t xml:space="preserve">statistics, machine learning, and natural language processing (NLP). I am particularly</w:t>
      </w:r>
      <w:r>
        <w:t xml:space="preserve"> </w:t>
      </w:r>
      <w:r>
        <w:t xml:space="preserve">interested in using these approaches for policy evaluation, regulatory transparency,</w:t>
      </w:r>
      <w:r>
        <w:t xml:space="preserve"> </w:t>
      </w:r>
      <w:r>
        <w:t xml:space="preserve">and institutional learning.</w:t>
      </w:r>
    </w:p>
    <w:bookmarkEnd w:id="10"/>
    <w:bookmarkStart w:id="11" w:name="academic-background"/>
    <w:p>
      <w:pPr>
        <w:pStyle w:val="Heading2"/>
      </w:pPr>
      <w:r>
        <w:t xml:space="preserve">Academic Background</w:t>
      </w:r>
    </w:p>
    <w:p>
      <w:pPr>
        <w:pStyle w:val="FirstParagraph"/>
      </w:pPr>
      <w:r>
        <w:t xml:space="preserve">2023–present</w:t>
      </w:r>
    </w:p>
    <w:p>
      <w:pPr>
        <w:pStyle w:val="BodyText"/>
      </w:pPr>
      <w:r>
        <w:t xml:space="preserve">PhD in Regulatory Law</w:t>
      </w:r>
    </w:p>
    <w:p>
      <w:pPr>
        <w:pStyle w:val="BodyText"/>
      </w:pPr>
      <w:r>
        <w:t xml:space="preserve">FGV Rio Law</w:t>
      </w:r>
    </w:p>
    <w:p>
      <w:pPr>
        <w:pStyle w:val="BodyText"/>
      </w:pPr>
      <w:r>
        <w:t xml:space="preserve">In progress.</w:t>
      </w:r>
    </w:p>
    <w:p>
      <w:pPr>
        <w:pStyle w:val="BodyText"/>
      </w:pPr>
      <w:r>
        <w:t xml:space="preserve">2025–2026</w:t>
      </w:r>
    </w:p>
    <w:p>
      <w:pPr>
        <w:pStyle w:val="BodyText"/>
      </w:pPr>
      <w:r>
        <w:t xml:space="preserve">Visiting Scholar, Regulatory Studies Center</w:t>
      </w:r>
    </w:p>
    <w:p>
      <w:pPr>
        <w:pStyle w:val="BodyText"/>
      </w:pPr>
      <w:r>
        <w:t xml:space="preserve">George Washington University</w:t>
      </w:r>
    </w:p>
    <w:p>
      <w:pPr>
        <w:pStyle w:val="BodyText"/>
      </w:pPr>
      <w:r>
        <w:t xml:space="preserve">2021–2022</w:t>
      </w:r>
    </w:p>
    <w:p>
      <w:pPr>
        <w:pStyle w:val="BodyText"/>
      </w:pPr>
      <w:r>
        <w:t xml:space="preserve">Master's Degree in Regulatory Law</w:t>
      </w:r>
    </w:p>
    <w:p>
      <w:pPr>
        <w:pStyle w:val="BodyText"/>
      </w:pPr>
      <w:r>
        <w:t xml:space="preserve">FGV Rio Law</w:t>
      </w:r>
    </w:p>
    <w:p>
      <w:pPr>
        <w:pStyle w:val="BodyText"/>
      </w:pPr>
      <w:r>
        <w:t xml:space="preserve">2015–2016</w:t>
      </w:r>
    </w:p>
    <w:p>
      <w:pPr>
        <w:pStyle w:val="BodyText"/>
      </w:pPr>
      <w:r>
        <w:t xml:space="preserve">MBA in International Relations</w:t>
      </w:r>
    </w:p>
    <w:p>
      <w:pPr>
        <w:pStyle w:val="BodyText"/>
      </w:pPr>
      <w:r>
        <w:t xml:space="preserve">FGV CPDOC</w:t>
      </w:r>
    </w:p>
    <w:p>
      <w:pPr>
        <w:pStyle w:val="BodyText"/>
      </w:pPr>
      <w:r>
        <w:t xml:space="preserve">2006–2011</w:t>
      </w:r>
    </w:p>
    <w:p>
      <w:pPr>
        <w:pStyle w:val="BodyText"/>
      </w:pPr>
      <w:r>
        <w:t xml:space="preserve">Bachelor of Laws (LL.B.)</w:t>
      </w:r>
    </w:p>
    <w:p>
      <w:pPr>
        <w:pStyle w:val="BodyText"/>
      </w:pPr>
      <w:r>
        <w:t xml:space="preserve">FGV Rio Law</w:t>
      </w:r>
    </w:p>
    <w:p>
      <w:pPr>
        <w:pStyle w:val="BodyText"/>
      </w:pPr>
      <w:r>
        <w:t xml:space="preserve">2009</w:t>
      </w:r>
    </w:p>
    <w:p>
      <w:pPr>
        <w:pStyle w:val="BodyText"/>
      </w:pPr>
      <w:r>
        <w:t xml:space="preserve">International Exchange Student in France</w:t>
      </w:r>
    </w:p>
    <w:p>
      <w:pPr>
        <w:pStyle w:val="BodyText"/>
      </w:pPr>
      <w:r>
        <w:t xml:space="preserve">Institut d'études politiques (Sciences Po)</w:t>
      </w:r>
    </w:p>
    <w:bookmarkEnd w:id="11"/>
    <w:bookmarkStart w:id="1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t xml:space="preserve">2020–present</w:t>
      </w:r>
    </w:p>
    <w:p>
      <w:pPr>
        <w:pStyle w:val="BodyText"/>
      </w:pPr>
      <w:r>
        <w:t xml:space="preserve">Researcher</w:t>
      </w:r>
    </w:p>
    <w:p>
      <w:pPr>
        <w:pStyle w:val="BodyText"/>
      </w:pPr>
      <w:r>
        <w:t xml:space="preserve">FGV Rio Law</w:t>
      </w:r>
    </w:p>
    <w:p>
      <w:pPr>
        <w:pStyle w:val="BodyText"/>
      </w:pPr>
      <w:r>
        <w:t xml:space="preserve">Research on empirical regulatory studies, public participation, regulatory</w:t>
      </w:r>
      <w:r>
        <w:t xml:space="preserve"> </w:t>
      </w:r>
      <w:r>
        <w:t xml:space="preserve">improvement tools, and public policy analysis, with an emphasis on quantitative</w:t>
      </w:r>
      <w:r>
        <w:t xml:space="preserve"> </w:t>
      </w:r>
      <w:r>
        <w:t xml:space="preserve">and computational methods.</w:t>
      </w:r>
    </w:p>
    <w:p>
      <w:pPr>
        <w:pStyle w:val="BodyText"/>
      </w:pPr>
      <w:r>
        <w:t xml:space="preserve">2022–present</w:t>
      </w:r>
    </w:p>
    <w:p>
      <w:pPr>
        <w:pStyle w:val="BodyText"/>
      </w:pPr>
      <w:r>
        <w:t xml:space="preserve">Professor</w:t>
      </w:r>
    </w:p>
    <w:p>
      <w:pPr>
        <w:pStyle w:val="BodyText"/>
      </w:pPr>
      <w:r>
        <w:t xml:space="preserve">FGV Rio Law</w:t>
      </w:r>
    </w:p>
    <w:p>
      <w:pPr>
        <w:pStyle w:val="BodyText"/>
      </w:pPr>
      <w:r>
        <w:t xml:space="preserve">Decision Theory</w:t>
      </w:r>
    </w:p>
    <w:p>
      <w:pPr>
        <w:pStyle w:val="BodyText"/>
      </w:pPr>
      <w:r>
        <w:t xml:space="preserve">Focus on risk, uncertainty, decision-making under limited information,</w:t>
      </w:r>
      <w:r>
        <w:t xml:space="preserve"> </w:t>
      </w:r>
      <w:r>
        <w:t xml:space="preserve">and applications of game theory to law and regulation.</w:t>
      </w:r>
    </w:p>
    <w:p>
      <w:pPr>
        <w:pStyle w:val="BodyText"/>
      </w:pPr>
      <w:r>
        <w:t xml:space="preserve">Programming for Lawyers</w:t>
      </w:r>
    </w:p>
    <w:p>
      <w:pPr>
        <w:pStyle w:val="BodyText"/>
      </w:pPr>
      <w:r>
        <w:t xml:space="preserve">Co-teach with Prof. José Luiz Nunes, introducing Python fundamentals and</w:t>
      </w:r>
      <w:r>
        <w:t xml:space="preserve"> </w:t>
      </w:r>
      <w:r>
        <w:t xml:space="preserve">data science concepts to law students.</w:t>
      </w:r>
    </w:p>
    <w:bookmarkEnd w:id="12"/>
    <w:bookmarkStart w:id="15" w:name="skills"/>
    <w:p>
      <w:pPr>
        <w:pStyle w:val="Heading2"/>
      </w:pPr>
      <w:r>
        <w:t xml:space="preserve">Skills</w:t>
      </w:r>
    </w:p>
    <w:bookmarkStart w:id="13" w:name="methods-and-tools"/>
    <w:p>
      <w:pPr>
        <w:pStyle w:val="Heading3"/>
      </w:pPr>
      <w:r>
        <w:t xml:space="preserve">Methods and Tools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Programming and data analysis:</w:t>
      </w:r>
      <w:r>
        <w:t xml:space="preserve"> </w:t>
      </w:r>
      <w:r>
        <w:t xml:space="preserve">R (advanced), Python (advanced), JavaScript (intermediate).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Empirical analysis and quantitative methods:</w:t>
      </w:r>
      <w:r>
        <w:t xml:space="preserve"> </w:t>
      </w:r>
      <w:r>
        <w:t xml:space="preserve">Applied statistics; regression analysis (linear, logistic); text analysis and NLP; supervised machine learning; data visualization.</w:t>
      </w:r>
    </w:p>
    <w:bookmarkEnd w:id="13"/>
    <w:bookmarkStart w:id="14" w:name="languages"/>
    <w:p>
      <w:pPr>
        <w:pStyle w:val="Heading3"/>
      </w:pPr>
      <w:r>
        <w:t xml:space="preserve">Languages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Portuguese:</w:t>
      </w:r>
      <w:r>
        <w:t xml:space="preserve"> </w:t>
      </w:r>
      <w:r>
        <w:t xml:space="preserve">native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English:</w:t>
      </w:r>
      <w:r>
        <w:t xml:space="preserve"> </w:t>
      </w:r>
      <w:r>
        <w:t xml:space="preserve">fluent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Spanish:</w:t>
      </w:r>
      <w:r>
        <w:t xml:space="preserve"> </w:t>
      </w:r>
      <w:r>
        <w:t xml:space="preserve">advanced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French:</w:t>
      </w:r>
      <w:r>
        <w:t xml:space="preserve"> </w:t>
      </w:r>
      <w:r>
        <w:t xml:space="preserve">advanced</w:t>
      </w:r>
    </w:p>
    <w:bookmarkEnd w:id="14"/>
    <w:bookmarkEnd w:id="15"/>
    <w:bookmarkStart w:id="38" w:name="selected-publications"/>
    <w:p>
      <w:pPr>
        <w:pStyle w:val="Heading2"/>
      </w:pPr>
      <w:r>
        <w:t xml:space="preserve">Selected Publications</w:t>
      </w:r>
    </w:p>
    <w:bookmarkStart w:id="20" w:name="articles"/>
    <w:p>
      <w:pPr>
        <w:pStyle w:val="Heading3"/>
      </w:pPr>
      <w:r>
        <w:t xml:space="preserve">Articles</w:t>
      </w:r>
    </w:p>
    <w:p>
      <w:pPr>
        <w:pStyle w:val="Compact"/>
        <w:numPr>
          <w:ilvl w:val="0"/>
          <w:numId w:val="1003"/>
        </w:numPr>
      </w:pPr>
      <w:r>
        <w:t xml:space="preserve">Natasha Schmitt Caccia Salinas and Lucas Thevenard</w:t>
      </w:r>
      <w:r>
        <w:t xml:space="preserve">.</w:t>
      </w:r>
      <w:r>
        <w:t xml:space="preserve"> </w:t>
      </w:r>
      <w:r>
        <w:t xml:space="preserve">"Open Exceptions: Why Does the Brazilian Health Regulatory Agency (ANVISA) Exempts RIA and Ex Post Reviews?"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Journal of Benefit-Cost Analysis · 2024</w:t>
      </w:r>
    </w:p>
    <w:p>
      <w:pPr>
        <w:pStyle w:val="Compact"/>
        <w:numPr>
          <w:ilvl w:val="0"/>
          <w:numId w:val="1000"/>
        </w:numPr>
      </w:pPr>
      <w:r>
        <w:t xml:space="preserve">DOI:</w:t>
      </w:r>
      <w:r>
        <w:t xml:space="preserve"> </w:t>
      </w:r>
      <w:hyperlink r:id="rId16">
        <w:r>
          <w:rPr>
            <w:rStyle w:val="Hyperlink"/>
          </w:rPr>
          <w:t xml:space="preserve">https://doi.org/10.1017/bca.2024.13</w:t>
        </w:r>
      </w:hyperlink>
    </w:p>
    <w:p>
      <w:pPr>
        <w:pStyle w:val="Compact"/>
        <w:numPr>
          <w:ilvl w:val="0"/>
          <w:numId w:val="1003"/>
        </w:numPr>
      </w:pPr>
      <w:r>
        <w:t xml:space="preserve">Lucas Thevenard and Luiz Felipe Monteiro Seixas</w:t>
      </w:r>
      <w:r>
        <w:t xml:space="preserve">.</w:t>
      </w:r>
      <w:r>
        <w:t xml:space="preserve"> </w:t>
      </w:r>
      <w:r>
        <w:t xml:space="preserve">"The Evolution of Normative Production of the Federal Revenue of Brazil (1988-2020): Empirical Analysis and Regulatory Implications"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DIREITO GV L. Rev. · 2023</w:t>
      </w:r>
    </w:p>
    <w:p>
      <w:pPr>
        <w:pStyle w:val="Compact"/>
        <w:numPr>
          <w:ilvl w:val="0"/>
          <w:numId w:val="1000"/>
        </w:numPr>
      </w:pPr>
      <w:r>
        <w:t xml:space="preserve">DOI:</w:t>
      </w:r>
      <w:r>
        <w:t xml:space="preserve"> </w:t>
      </w:r>
      <w:hyperlink r:id="rId17">
        <w:r>
          <w:rPr>
            <w:rStyle w:val="Hyperlink"/>
          </w:rPr>
          <w:t xml:space="preserve">https://doi.org/10.1690/2317-6172202414</w:t>
        </w:r>
      </w:hyperlink>
    </w:p>
    <w:p>
      <w:pPr>
        <w:pStyle w:val="Compact"/>
        <w:numPr>
          <w:ilvl w:val="0"/>
          <w:numId w:val="1003"/>
        </w:numPr>
      </w:pPr>
      <w:r>
        <w:t xml:space="preserve">Natasha Schmitt Caccia Salinas and Lucas Thevenard</w:t>
      </w:r>
      <w:r>
        <w:t xml:space="preserve">.</w:t>
      </w:r>
      <w:r>
        <w:t xml:space="preserve"> </w:t>
      </w:r>
      <w:r>
        <w:t xml:space="preserve">"The use and exemption of Regulatory Impact Assessment by the National Health Surveillance Agency"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Revista Do Serviço Público · 2021</w:t>
      </w:r>
    </w:p>
    <w:p>
      <w:pPr>
        <w:pStyle w:val="Compact"/>
        <w:numPr>
          <w:ilvl w:val="0"/>
          <w:numId w:val="1000"/>
        </w:numPr>
      </w:pPr>
      <w:r>
        <w:t xml:space="preserve">DOI:</w:t>
      </w:r>
      <w:r>
        <w:t xml:space="preserve"> </w:t>
      </w:r>
      <w:hyperlink r:id="rId18">
        <w:r>
          <w:rPr>
            <w:rStyle w:val="Hyperlink"/>
          </w:rPr>
          <w:t xml:space="preserve">https://doi.org/10.21874/rsp.v72.ib.5954</w:t>
        </w:r>
      </w:hyperlink>
    </w:p>
    <w:p>
      <w:pPr>
        <w:pStyle w:val="Compact"/>
        <w:numPr>
          <w:ilvl w:val="0"/>
          <w:numId w:val="1003"/>
        </w:numPr>
      </w:pPr>
      <w:r>
        <w:t xml:space="preserve">Sérgio Guerra, Natasha Schmitt Caccia Salinas, and Lucas Thevenard</w:t>
      </w:r>
      <w:r>
        <w:t xml:space="preserve">.</w:t>
      </w:r>
      <w:r>
        <w:t xml:space="preserve"> </w:t>
      </w:r>
      <w:r>
        <w:t xml:space="preserve">"As agências reguladoras em resposta à crise da COVID-19"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Revista de Administração Pública · 2020</w:t>
      </w:r>
    </w:p>
    <w:p>
      <w:pPr>
        <w:pStyle w:val="Compact"/>
        <w:numPr>
          <w:ilvl w:val="0"/>
          <w:numId w:val="1000"/>
        </w:numPr>
      </w:pPr>
      <w:r>
        <w:t xml:space="preserve">DOI:</w:t>
      </w:r>
      <w:r>
        <w:t xml:space="preserve"> </w:t>
      </w:r>
      <w:hyperlink r:id="rId19">
        <w:r>
          <w:rPr>
            <w:rStyle w:val="Hyperlink"/>
          </w:rPr>
          <w:t xml:space="preserve">https://doi.org/10.1590/0034-761220200321</w:t>
        </w:r>
      </w:hyperlink>
    </w:p>
    <w:bookmarkEnd w:id="20"/>
    <w:bookmarkStart w:id="25" w:name="book-chapters"/>
    <w:p>
      <w:pPr>
        <w:pStyle w:val="Heading3"/>
      </w:pPr>
      <w:r>
        <w:t xml:space="preserve">Book Chapters</w:t>
      </w:r>
    </w:p>
    <w:p>
      <w:pPr>
        <w:pStyle w:val="Compact"/>
        <w:numPr>
          <w:ilvl w:val="0"/>
          <w:numId w:val="1004"/>
        </w:numPr>
      </w:pPr>
      <w:r>
        <w:t xml:space="preserve">Eduardo Jordão, Lucas Thevenard, and Bernardo Schwaitzer</w:t>
      </w:r>
      <w:r>
        <w:t xml:space="preserve">.</w:t>
      </w:r>
      <w:r>
        <w:t xml:space="preserve"> </w:t>
      </w:r>
      <w:r>
        <w:t xml:space="preserve">"Agências Reguladoras Estaduais: Pesquisa Empírica sobre sua Maturidade Institucional"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Book · Editora Juspodivm · 2024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21">
        <w:r>
          <w:rPr>
            <w:rStyle w:val="Hyperlink"/>
          </w:rPr>
          <w:t xml:space="preserve">https://direitorio.fgv.br/publicacao/agencias-reguladoras-estaduais-pesquisa-empirica-sobre-sua-maturidade-institucional</w:t>
        </w:r>
      </w:hyperlink>
    </w:p>
    <w:p>
      <w:pPr>
        <w:pStyle w:val="Compact"/>
        <w:numPr>
          <w:ilvl w:val="0"/>
          <w:numId w:val="1004"/>
        </w:numPr>
      </w:pPr>
      <w:r>
        <w:t xml:space="preserve">Lucas Thevenard and Natasha Schmitt Caccia Salinas</w:t>
      </w:r>
      <w:r>
        <w:t xml:space="preserve">.</w:t>
      </w:r>
      <w:r>
        <w:t xml:space="preserve"> </w:t>
      </w:r>
      <w:r>
        <w:t xml:space="preserve">"Os três pilares da melhoria regulatória"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Book Chapter · Temas Atuais em Regulação e Governança (Parte I, p. 15-55) · 2024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22">
        <w:r>
          <w:rPr>
            <w:rStyle w:val="Hyperlink"/>
          </w:rPr>
          <w:t xml:space="preserve">https://regulacaoemnumeros-direitorio.fgv.br/post/os-tres-pilares-da-melhoria-regulatoria</w:t>
        </w:r>
      </w:hyperlink>
    </w:p>
    <w:p>
      <w:pPr>
        <w:pStyle w:val="Compact"/>
        <w:numPr>
          <w:ilvl w:val="0"/>
          <w:numId w:val="1004"/>
        </w:numPr>
      </w:pPr>
      <w:r>
        <w:t xml:space="preserve">Lucas Thevenard, Natasha Schmitt Caccia Salinas, and Patrícia Regina Pinheiro Sampaio</w:t>
      </w:r>
      <w:r>
        <w:t xml:space="preserve">.</w:t>
      </w:r>
      <w:r>
        <w:t xml:space="preserve"> </w:t>
      </w:r>
      <w:r>
        <w:t xml:space="preserve">"Propostas para assegurar a efetividade das consultas e audiências públicas nos processos regulatórios"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Book Chapter · QualiReg – Boas Práticas Regulatórias (Capítulo 4.1) · 2024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23">
        <w:r>
          <w:rPr>
            <w:rStyle w:val="Hyperlink"/>
          </w:rPr>
          <w:t xml:space="preserve">https://repositorio.cgu.gov.br/bitstream/1/78223/1/Livro_Boas_Praticas_Regulatorias.pdf</w:t>
        </w:r>
      </w:hyperlink>
    </w:p>
    <w:p>
      <w:pPr>
        <w:pStyle w:val="Compact"/>
        <w:numPr>
          <w:ilvl w:val="0"/>
          <w:numId w:val="1004"/>
        </w:numPr>
      </w:pPr>
      <w:r>
        <w:t xml:space="preserve">Lucas Thevenard</w:t>
      </w:r>
      <w:r>
        <w:t xml:space="preserve">.</w:t>
      </w:r>
      <w:r>
        <w:t xml:space="preserve"> </w:t>
      </w:r>
      <w:r>
        <w:t xml:space="preserve">"Fundamentos teóricos da participação social no âmbito das agências reguladoras independentes"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Book Chapter · Teoria do Estado Regulador V (Capítulo 9) · 2022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24">
        <w:r>
          <w:rPr>
            <w:rStyle w:val="Hyperlink"/>
          </w:rPr>
          <w:t xml:space="preserve">https://direitorio.fgv.br/conhecimento/livrosteoria-do-estado-regulador-volume-v</w:t>
        </w:r>
      </w:hyperlink>
    </w:p>
    <w:bookmarkEnd w:id="25"/>
    <w:bookmarkStart w:id="30" w:name="reports"/>
    <w:p>
      <w:pPr>
        <w:pStyle w:val="Heading3"/>
      </w:pPr>
      <w:r>
        <w:t xml:space="preserve">Reports</w:t>
      </w:r>
    </w:p>
    <w:p>
      <w:pPr>
        <w:pStyle w:val="Compact"/>
        <w:numPr>
          <w:ilvl w:val="0"/>
          <w:numId w:val="1005"/>
        </w:numPr>
      </w:pPr>
      <w:r>
        <w:t xml:space="preserve">Natasha Schmitt Caccia Salinas, Lucas Thevenard, Luiz Guilherme Cantarelli, and Luiza Szczerbacki Castello Branco</w:t>
      </w:r>
      <w:r>
        <w:t xml:space="preserve">.</w:t>
      </w:r>
      <w:r>
        <w:t xml:space="preserve"> </w:t>
      </w:r>
      <w:r>
        <w:t xml:space="preserve">"Recursos em queda, obrigações em alta: A sustentabilidade da força de trabalho nas agências reguladoras"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Report · Regulação em Números – FGV Direito Rio · 2025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26">
        <w:r>
          <w:rPr>
            <w:rStyle w:val="Hyperlink"/>
          </w:rPr>
          <w:t xml:space="preserve">https://regulacaoemnumeros-direitorio.fgv.br/post/recursos-em-queda-obrigacoes-em-alta-sustentabilidade-da-forca-de-trabalho-nas-agencias</w:t>
        </w:r>
      </w:hyperlink>
    </w:p>
    <w:p>
      <w:pPr>
        <w:pStyle w:val="Compact"/>
        <w:numPr>
          <w:ilvl w:val="0"/>
          <w:numId w:val="1005"/>
        </w:numPr>
      </w:pPr>
      <w:r>
        <w:t xml:space="preserve">Natasha Schmitt Caccia Salinas, Lucas Thevenard, Luiz Guilherme Cantarelli, and Luiza Szczerbacki Castello Branco</w:t>
      </w:r>
      <w:r>
        <w:t xml:space="preserve">.</w:t>
      </w:r>
      <w:r>
        <w:t xml:space="preserve"> </w:t>
      </w:r>
      <w:r>
        <w:t xml:space="preserve">"Ferramentas de Melhoria Regulatória no Setor de Seguros"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Report · Regulação em Números – FGV Direito Rio · 2025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27">
        <w:r>
          <w:rPr>
            <w:rStyle w:val="Hyperlink"/>
          </w:rPr>
          <w:t xml:space="preserve">https://regulacaoemnumeros-direitorio.fgv.br/post/ferramentas-de-melhoria-regulatoria-no-setor-de-seguros-policy-report</w:t>
        </w:r>
      </w:hyperlink>
    </w:p>
    <w:p>
      <w:pPr>
        <w:pStyle w:val="Compact"/>
        <w:numPr>
          <w:ilvl w:val="0"/>
          <w:numId w:val="1005"/>
        </w:numPr>
      </w:pPr>
      <w:r>
        <w:t xml:space="preserve">Natasha Schmitt Caccia Salinas, Flávio Saab, and Lucas Thevenard</w:t>
      </w:r>
      <w:r>
        <w:t xml:space="preserve">.</w:t>
      </w:r>
      <w:r>
        <w:t xml:space="preserve"> </w:t>
      </w:r>
      <w:r>
        <w:t xml:space="preserve">"Análise dos três anos de regulamentação da AIR no Brasil"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Report · Regulação em Números – FGV Direito Rio · 2024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28">
        <w:r>
          <w:rPr>
            <w:rStyle w:val="Hyperlink"/>
          </w:rPr>
          <w:t xml:space="preserve">https://regulacaoemnumeros-direitorio.fgv.br/post/analise-dos-tres-anos-de-regulamentacao-da-air-no-brasil</w:t>
        </w:r>
      </w:hyperlink>
    </w:p>
    <w:p>
      <w:pPr>
        <w:pStyle w:val="Compact"/>
        <w:numPr>
          <w:ilvl w:val="0"/>
          <w:numId w:val="1005"/>
        </w:numPr>
      </w:pPr>
      <w:r>
        <w:t xml:space="preserve">Lucas Thevenard</w:t>
      </w:r>
      <w:r>
        <w:t xml:space="preserve">.</w:t>
      </w:r>
      <w:r>
        <w:t xml:space="preserve"> </w:t>
      </w:r>
      <w:r>
        <w:t xml:space="preserve">"Participação, linguagem e impacto dos grupos de interesse: análise quantitativa das contribuições recebidas pela Anatel"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Master's Thesis · Repositório Acadêmico – FGV Direito Rio · 2022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29">
        <w:r>
          <w:rPr>
            <w:rStyle w:val="Hyperlink"/>
          </w:rPr>
          <w:t xml:space="preserve">https://repositorio.fgv.br/items/8d482b3c-b5d9-4759-afa2-2307915bd2bf</w:t>
        </w:r>
      </w:hyperlink>
    </w:p>
    <w:bookmarkEnd w:id="30"/>
    <w:bookmarkStart w:id="37" w:name="op-eds"/>
    <w:p>
      <w:pPr>
        <w:pStyle w:val="Heading3"/>
      </w:pPr>
      <w:r>
        <w:t xml:space="preserve">Op-eds</w:t>
      </w:r>
    </w:p>
    <w:p>
      <w:pPr>
        <w:pStyle w:val="Compact"/>
        <w:numPr>
          <w:ilvl w:val="0"/>
          <w:numId w:val="1006"/>
        </w:numPr>
      </w:pPr>
      <w:r>
        <w:t xml:space="preserve">Natasha Schmitt Caccia Salinas, Lucas Thevenard, and Flávio Saab</w:t>
      </w:r>
      <w:r>
        <w:t xml:space="preserve">.</w:t>
      </w:r>
      <w:r>
        <w:t xml:space="preserve"> </w:t>
      </w:r>
      <w:r>
        <w:t xml:space="preserve">"How Many Are Too Few? Analyzing the Diversity of Regulatory Options Considered in Brazilian RIAs"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Regulatory Studies Center – Commentaries &amp; Insights · 2025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31">
        <w:r>
          <w:rPr>
            <w:rStyle w:val="Hyperlink"/>
          </w:rPr>
          <w:t xml:space="preserve">https://regulatorystudies.columbian.gwu.edu/how-many-are-too-few-analyzing-diversity-regulatory-options-considered-brazilian-rias</w:t>
        </w:r>
      </w:hyperlink>
    </w:p>
    <w:p>
      <w:pPr>
        <w:pStyle w:val="Compact"/>
        <w:numPr>
          <w:ilvl w:val="0"/>
          <w:numId w:val="1006"/>
        </w:numPr>
      </w:pPr>
      <w:r>
        <w:t xml:space="preserve">Lucas Thevenard and Luiz Felipe Monteiro Seixas</w:t>
      </w:r>
      <w:r>
        <w:t xml:space="preserve">.</w:t>
      </w:r>
      <w:r>
        <w:t xml:space="preserve"> </w:t>
      </w:r>
      <w:r>
        <w:t xml:space="preserve">"Qual a dimensão da produção normativa da Receita Federal?"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Estadão · 2024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32">
        <w:r>
          <w:rPr>
            <w:rStyle w:val="Hyperlink"/>
          </w:rPr>
          <w:t xml:space="preserve">https://www.estadao.com.br/economia/dimensao-producao-normativa-receita-federal/?srsltid=AfmBOoquAzWDWLNEJiDSI7sxy3fNAcxXj8owmgzYlaq3JTPsp6XFBKoi</w:t>
        </w:r>
      </w:hyperlink>
    </w:p>
    <w:p>
      <w:pPr>
        <w:pStyle w:val="Compact"/>
        <w:numPr>
          <w:ilvl w:val="0"/>
          <w:numId w:val="1006"/>
        </w:numPr>
      </w:pPr>
      <w:r>
        <w:t xml:space="preserve">Natasha Schmitt Caccia Salinas and Lucas Thevenard</w:t>
      </w:r>
      <w:r>
        <w:t xml:space="preserve">.</w:t>
      </w:r>
      <w:r>
        <w:t xml:space="preserve"> </w:t>
      </w:r>
      <w:r>
        <w:t xml:space="preserve">"Regulatory Impact Analysis in Brazil: An Assessment of Exemptions and Ex Post Reviews"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Regulatory Studies Center – Commentaries &amp; Insights · 2024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33">
        <w:r>
          <w:rPr>
            <w:rStyle w:val="Hyperlink"/>
          </w:rPr>
          <w:t xml:space="preserve">https://regulatorystudies.columbian.gwu.edu/regulatory-impact-analysis-brazil-assessment-exemptions-and-ex-post-reviews</w:t>
        </w:r>
      </w:hyperlink>
    </w:p>
    <w:p>
      <w:pPr>
        <w:pStyle w:val="Compact"/>
        <w:numPr>
          <w:ilvl w:val="0"/>
          <w:numId w:val="1006"/>
        </w:numPr>
      </w:pPr>
      <w:r>
        <w:t xml:space="preserve">Eduardo Jordão, Lucas Thevenard, and Bernardo Padula Schwaitzer</w:t>
      </w:r>
      <w:r>
        <w:t xml:space="preserve">.</w:t>
      </w:r>
      <w:r>
        <w:t xml:space="preserve"> </w:t>
      </w:r>
      <w:r>
        <w:t xml:space="preserve">"Precisamos falar sobre as agências reguladoras estaduais"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Jota · 2024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34">
        <w:r>
          <w:rPr>
            <w:rStyle w:val="Hyperlink"/>
          </w:rPr>
          <w:t xml:space="preserve">https://www.jota.info/opiniao-e-analise/artigos/precisamos-falar-sobre-as-agencias-reguladoras-estaduais</w:t>
        </w:r>
      </w:hyperlink>
    </w:p>
    <w:p>
      <w:pPr>
        <w:pStyle w:val="Compact"/>
        <w:numPr>
          <w:ilvl w:val="0"/>
          <w:numId w:val="1006"/>
        </w:numPr>
      </w:pPr>
      <w:r>
        <w:t xml:space="preserve">Natasha Schmitt Caccia Salinas and Lucas Thevenard</w:t>
      </w:r>
      <w:r>
        <w:t xml:space="preserve">.</w:t>
      </w:r>
      <w:r>
        <w:t xml:space="preserve"> </w:t>
      </w:r>
      <w:r>
        <w:t xml:space="preserve">"A política regulatória precisa de supervisão"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Valor Econômico · 2022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35">
        <w:r>
          <w:rPr>
            <w:rStyle w:val="Hyperlink"/>
          </w:rPr>
          <w:t xml:space="preserve">https://valor.globo.com/opiniao/coluna/a-politica-regulatoria-precisa-de-supervisao.ghtml</w:t>
        </w:r>
      </w:hyperlink>
    </w:p>
    <w:p>
      <w:pPr>
        <w:pStyle w:val="Compact"/>
        <w:numPr>
          <w:ilvl w:val="0"/>
          <w:numId w:val="1006"/>
        </w:numPr>
      </w:pPr>
      <w:r>
        <w:t xml:space="preserve">Natasha Schmitt Caccia Salinas and Lucas Thevenard</w:t>
      </w:r>
      <w:r>
        <w:t xml:space="preserve">.</w:t>
      </w:r>
      <w:r>
        <w:t xml:space="preserve"> </w:t>
      </w:r>
      <w:r>
        <w:t xml:space="preserve">"A Dispensa de AIR na Anvisa"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Conjuntura Econômica (no. 76) · 2022</w:t>
      </w:r>
    </w:p>
    <w:p>
      <w:pPr>
        <w:pStyle w:val="Compact"/>
        <w:numPr>
          <w:ilvl w:val="0"/>
          <w:numId w:val="1000"/>
        </w:numPr>
      </w:pPr>
      <w:r>
        <w:t xml:space="preserve">URL:</w:t>
      </w:r>
      <w:r>
        <w:t xml:space="preserve"> </w:t>
      </w:r>
      <w:hyperlink r:id="rId36">
        <w:r>
          <w:rPr>
            <w:rStyle w:val="Hyperlink"/>
          </w:rPr>
          <w:t xml:space="preserve">https://periodicos.fgv.br/rce/article/view/85807/80907</w:t>
        </w:r>
      </w:hyperlink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Source Sans 3" w:cs="Source Sans 3" w:cstheme="minorBidi" w:eastAsia="Source Sans 3" w:hAnsi="Source Sans 3"/>
        <w:sz w:val="22"/>
        <w:szCs w:val="22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ormorant Garamond" w:cs="Cormorant Garamond" w:cstheme="majorBidi" w:eastAsia="Cormorant Garamond" w:hAnsi="Cormorant Garamond"/>
      <w:color w:themeColor="accent1" w:themeShade="BF" w:val="0B3D6E"/>
      <w:sz w:val="48"/>
      <w:szCs w:val="48"/>
      <w:b w:val="1"/>
      <w:bCs w:val="1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ormorant Garamond" w:cs="Cormorant Garamond" w:cstheme="majorBidi" w:eastAsia="Cormorant Garamond" w:hAnsi="Cormorant Garamond"/>
      <w:color w:themeColor="accent1" w:themeShade="BF" w:val="0B3D6E"/>
      <w:sz w:val="28"/>
      <w:szCs w:val="28"/>
      <w:b w:val="1"/>
      <w:bCs w:val="1"/>
      <w:cap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ormorant Garamond" w:cs="Cormorant Garamond" w:cstheme="majorBidi" w:eastAsia="Cormorant Garamond" w:hAnsi="Cormorant Garamond"/>
      <w:color w:themeColor="accent1" w:themeShade="BF" w:val="1F2937"/>
      <w:sz w:val="24"/>
      <w:szCs w:val="24"/>
      <w:b w:val="1"/>
      <w:bCs w:val="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ormorant Garamond" w:cs="Cormorant Garamond" w:cstheme="majorBidi" w:eastAsia="Cormorant Garamond" w:hAnsi="Cormorant Garamond"/>
      <w:color w:themeColor="accent1" w:themeShade="BF" w:val="0B3D6E"/>
      <w:sz w:val="48"/>
      <w:szCs w:val="48"/>
      <w:b w:val="1"/>
      <w:bCs w:val="1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ormorant Garamond" w:cs="Cormorant Garamond" w:cstheme="majorBidi" w:eastAsia="Cormorant Garamond" w:hAnsi="Cormorant Garamond"/>
      <w:color w:themeColor="accent1" w:themeShade="BF" w:val="0B3D6E"/>
      <w:sz w:val="28"/>
      <w:szCs w:val="28"/>
      <w:b w:val="1"/>
      <w:bCs w:val="1"/>
      <w:caps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ormorant Garamond" w:cs="Cormorant Garamond" w:cstheme="majorBidi" w:eastAsia="Cormorant Garamond" w:hAnsi="Cormorant Garamond"/>
      <w:color w:themeColor="accent1" w:themeShade="BF" w:val="1F2937"/>
      <w:sz w:val="24"/>
      <w:szCs w:val="24"/>
      <w:b w:val="1"/>
      <w:bCs w:val="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5F6B7A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direitorio.fgv.br/conhecimento/livrosteoria-do-estado-regulador-volume-v" TargetMode="External" /><Relationship Type="http://schemas.openxmlformats.org/officeDocument/2006/relationships/hyperlink" Id="rId21" Target="https://direitorio.fgv.br/publicacao/agencias-reguladoras-estaduais-pesquisa-empirica-sobre-sua-maturidade-institucional" TargetMode="External" /><Relationship Type="http://schemas.openxmlformats.org/officeDocument/2006/relationships/hyperlink" Id="rId16" Target="https://doi.org/10.1017/bca.2024.13" TargetMode="External" /><Relationship Type="http://schemas.openxmlformats.org/officeDocument/2006/relationships/hyperlink" Id="rId19" Target="https://doi.org/10.1590/0034-761220200321" TargetMode="External" /><Relationship Type="http://schemas.openxmlformats.org/officeDocument/2006/relationships/hyperlink" Id="rId17" Target="https://doi.org/10.1690/2317-6172202414" TargetMode="External" /><Relationship Type="http://schemas.openxmlformats.org/officeDocument/2006/relationships/hyperlink" Id="rId18" Target="https://doi.org/10.21874/rsp.v72.ib.5954" TargetMode="External" /><Relationship Type="http://schemas.openxmlformats.org/officeDocument/2006/relationships/hyperlink" Id="rId36" Target="https://periodicos.fgv.br/rce/article/view/85807/80907" TargetMode="External" /><Relationship Type="http://schemas.openxmlformats.org/officeDocument/2006/relationships/hyperlink" Id="rId28" Target="https://regulacaoemnumeros-direitorio.fgv.br/post/analise-dos-tres-anos-de-regulamentacao-da-air-no-brasil" TargetMode="External" /><Relationship Type="http://schemas.openxmlformats.org/officeDocument/2006/relationships/hyperlink" Id="rId27" Target="https://regulacaoemnumeros-direitorio.fgv.br/post/ferramentas-de-melhoria-regulatoria-no-setor-de-seguros-policy-report" TargetMode="External" /><Relationship Type="http://schemas.openxmlformats.org/officeDocument/2006/relationships/hyperlink" Id="rId22" Target="https://regulacaoemnumeros-direitorio.fgv.br/post/os-tres-pilares-da-melhoria-regulatoria" TargetMode="External" /><Relationship Type="http://schemas.openxmlformats.org/officeDocument/2006/relationships/hyperlink" Id="rId26" Target="https://regulacaoemnumeros-direitorio.fgv.br/post/recursos-em-queda-obrigacoes-em-alta-sustentabilidade-da-forca-de-trabalho-nas-agencias" TargetMode="External" /><Relationship Type="http://schemas.openxmlformats.org/officeDocument/2006/relationships/hyperlink" Id="rId31" Target="https://regulatorystudies.columbian.gwu.edu/how-many-are-too-few-analyzing-diversity-regulatory-options-considered-brazilian-rias" TargetMode="External" /><Relationship Type="http://schemas.openxmlformats.org/officeDocument/2006/relationships/hyperlink" Id="rId33" Target="https://regulatorystudies.columbian.gwu.edu/regulatory-impact-analysis-brazil-assessment-exemptions-and-ex-post-reviews" TargetMode="External" /><Relationship Type="http://schemas.openxmlformats.org/officeDocument/2006/relationships/hyperlink" Id="rId23" Target="https://repositorio.cgu.gov.br/bitstream/1/78223/1/Livro_Boas_Praticas_Regulatorias.pdf" TargetMode="External" /><Relationship Type="http://schemas.openxmlformats.org/officeDocument/2006/relationships/hyperlink" Id="rId29" Target="https://repositorio.fgv.br/items/8d482b3c-b5d9-4759-afa2-2307915bd2bf" TargetMode="External" /><Relationship Type="http://schemas.openxmlformats.org/officeDocument/2006/relationships/hyperlink" Id="rId35" Target="https://valor.globo.com/opiniao/coluna/a-politica-regulatoria-precisa-de-supervisao.ghtml" TargetMode="External" /><Relationship Type="http://schemas.openxmlformats.org/officeDocument/2006/relationships/hyperlink" Id="rId32" Target="https://www.estadao.com.br/economia/dimensao-producao-normativa-receita-federal/?srsltid=AfmBOoquAzWDWLNEJiDSI7sxy3fNAcxXj8owmgzYlaq3JTPsp6XFBKoi" TargetMode="External" /><Relationship Type="http://schemas.openxmlformats.org/officeDocument/2006/relationships/hyperlink" Id="rId34" Target="https://www.jota.info/opiniao-e-analise/artigos/precisamos-falar-sobre-as-agencias-reguladoras-estadua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ireitorio.fgv.br/conhecimento/livrosteoria-do-estado-regulador-volume-v" TargetMode="External" /><Relationship Type="http://schemas.openxmlformats.org/officeDocument/2006/relationships/hyperlink" Id="rId21" Target="https://direitorio.fgv.br/publicacao/agencias-reguladoras-estaduais-pesquisa-empirica-sobre-sua-maturidade-institucional" TargetMode="External" /><Relationship Type="http://schemas.openxmlformats.org/officeDocument/2006/relationships/hyperlink" Id="rId16" Target="https://doi.org/10.1017/bca.2024.13" TargetMode="External" /><Relationship Type="http://schemas.openxmlformats.org/officeDocument/2006/relationships/hyperlink" Id="rId19" Target="https://doi.org/10.1590/0034-761220200321" TargetMode="External" /><Relationship Type="http://schemas.openxmlformats.org/officeDocument/2006/relationships/hyperlink" Id="rId17" Target="https://doi.org/10.1690/2317-6172202414" TargetMode="External" /><Relationship Type="http://schemas.openxmlformats.org/officeDocument/2006/relationships/hyperlink" Id="rId18" Target="https://doi.org/10.21874/rsp.v72.ib.5954" TargetMode="External" /><Relationship Type="http://schemas.openxmlformats.org/officeDocument/2006/relationships/hyperlink" Id="rId36" Target="https://periodicos.fgv.br/rce/article/view/85807/80907" TargetMode="External" /><Relationship Type="http://schemas.openxmlformats.org/officeDocument/2006/relationships/hyperlink" Id="rId28" Target="https://regulacaoemnumeros-direitorio.fgv.br/post/analise-dos-tres-anos-de-regulamentacao-da-air-no-brasil" TargetMode="External" /><Relationship Type="http://schemas.openxmlformats.org/officeDocument/2006/relationships/hyperlink" Id="rId27" Target="https://regulacaoemnumeros-direitorio.fgv.br/post/ferramentas-de-melhoria-regulatoria-no-setor-de-seguros-policy-report" TargetMode="External" /><Relationship Type="http://schemas.openxmlformats.org/officeDocument/2006/relationships/hyperlink" Id="rId22" Target="https://regulacaoemnumeros-direitorio.fgv.br/post/os-tres-pilares-da-melhoria-regulatoria" TargetMode="External" /><Relationship Type="http://schemas.openxmlformats.org/officeDocument/2006/relationships/hyperlink" Id="rId26" Target="https://regulacaoemnumeros-direitorio.fgv.br/post/recursos-em-queda-obrigacoes-em-alta-sustentabilidade-da-forca-de-trabalho-nas-agencias" TargetMode="External" /><Relationship Type="http://schemas.openxmlformats.org/officeDocument/2006/relationships/hyperlink" Id="rId31" Target="https://regulatorystudies.columbian.gwu.edu/how-many-are-too-few-analyzing-diversity-regulatory-options-considered-brazilian-rias" TargetMode="External" /><Relationship Type="http://schemas.openxmlformats.org/officeDocument/2006/relationships/hyperlink" Id="rId33" Target="https://regulatorystudies.columbian.gwu.edu/regulatory-impact-analysis-brazil-assessment-exemptions-and-ex-post-reviews" TargetMode="External" /><Relationship Type="http://schemas.openxmlformats.org/officeDocument/2006/relationships/hyperlink" Id="rId23" Target="https://repositorio.cgu.gov.br/bitstream/1/78223/1/Livro_Boas_Praticas_Regulatorias.pdf" TargetMode="External" /><Relationship Type="http://schemas.openxmlformats.org/officeDocument/2006/relationships/hyperlink" Id="rId29" Target="https://repositorio.fgv.br/items/8d482b3c-b5d9-4759-afa2-2307915bd2bf" TargetMode="External" /><Relationship Type="http://schemas.openxmlformats.org/officeDocument/2006/relationships/hyperlink" Id="rId35" Target="https://valor.globo.com/opiniao/coluna/a-politica-regulatoria-precisa-de-supervisao.ghtml" TargetMode="External" /><Relationship Type="http://schemas.openxmlformats.org/officeDocument/2006/relationships/hyperlink" Id="rId32" Target="https://www.estadao.com.br/economia/dimensao-producao-normativa-receita-federal/?srsltid=AfmBOoquAzWDWLNEJiDSI7sxy3fNAcxXj8owmgzYlaq3JTPsp6XFBKoi" TargetMode="External" /><Relationship Type="http://schemas.openxmlformats.org/officeDocument/2006/relationships/hyperlink" Id="rId34" Target="https://www.jota.info/opiniao-e-analise/artigos/precisamos-falar-sobre-as-agencias-reguladoras-estadua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Thevenard — Academic CV</dc:title>
  <dc:creator/>
  <dc:language>en</dc:language>
  <cp:keywords/>
  <dcterms:created xsi:type="dcterms:W3CDTF">2026-02-13T06:41:34Z</dcterms:created>
  <dcterms:modified xsi:type="dcterms:W3CDTF">2026-02-13T06:41:34Z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